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Superintendent</w:t>
      </w:r>
    </w:p>
    <w:p>
      <w:pPr>
        <w:spacing w:after="240"/>
      </w:pPr>
      <w:r>
        <w:rPr>
          <w:rFonts w:ascii="Aptos" w:hAnsi="Aptos"/>
          <w:b/>
          <w:color w:val="66747A"/>
          <w:sz w:val="24"/>
        </w:rPr>
        <w:t xml:space="preserve">District Leadership and Public Accountability</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Superintendent leads district strategy, educational quality, personnel, fiscal stewardship, operations, community partnership, and implementation of governing board policy. The district or employing agency should define the final portfolio, delegated authority, and relationships with other program owners.</w:t>
      </w:r>
    </w:p>
    <w:p>
      <w:r>
        <w:t xml:space="preserve">The position establishes trustworthy evidence, data governance, and public accountability across the district; connects resources and legal obligations to student opportunity while preserving board authority and professional judgment.</w:t>
      </w:r>
    </w:p>
    <w:p>
      <w:pPr>
        <w:pStyle w:val="Heading1"/>
        <w:keepNext/>
        <w:pBdr>
          <w:left w:val="single" w:sz="18" w:space="8" w:color="FDAB42"/>
        </w:pBdr>
      </w:pPr>
      <w:r>
        <w:t>Reports To</w:t>
      </w:r>
    </w:p>
    <w:p>
      <w:r>
        <w:rPr>
          <w:rFonts w:ascii="Aptos" w:hAnsi="Aptos"/>
          <w:i/>
          <w:color w:val="66747A"/>
        </w:rPr>
        <w:t xml:space="preserve">Illustrative reporting relationship: Governing Board under the district-approved employment agreement and governance structure.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education, public administration, or a related field; confirm the local degree requirement and permitted equivalents.</w:t>
      </w:r>
    </w:p>
    <w:p>
      <w:pPr>
        <w:pStyle w:val="ListBullet"/>
        <w:keepLines/>
      </w:pPr>
      <w:r>
        <w:t xml:space="preserve">Possess the California credential or other lawful authorization required for the final appointment. The governing board and HR should verify applicable statutory qualifications and any permitted exception with counsel.</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educational leadership, education, public administration,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seven years of successful senior educational administration with substantial instructional, personnel, fiscal, operational, and board-facing leadership;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district student outcomes, service delivery and fiscal sustainability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district performance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District Strategy and Governance</w:t>
      </w:r>
    </w:p>
    <w:p>
      <w:pPr>
        <w:pStyle w:val="ListBullet"/>
        <w:keepLines/>
      </w:pPr>
      <w:r>
        <w:t xml:space="preserve">Lead a coherent district direction with the governing board, staff, students and community; translate adopted goals into accountable implementation.</w:t>
      </w:r>
    </w:p>
    <w:p>
      <w:pPr>
        <w:pStyle w:val="ListBullet"/>
        <w:keepLines/>
      </w:pPr>
      <w:r>
        <w:t xml:space="preserve">Recommend policy and resource decisions, supervise senior leaders, and maintain clear board, executive and operational responsibilities.</w:t>
      </w:r>
    </w:p>
    <w:p>
      <w:pPr>
        <w:pStyle w:val="ListBullet"/>
        <w:keepLines/>
      </w:pPr>
      <w:r>
        <w:t xml:space="preserve">Coordinate instruction, student support, workforce, fiscal and operational priorities; address urgent safety and service risks through authorized channels.</w:t>
      </w:r>
    </w:p>
    <w:p>
      <w:pPr>
        <w:pStyle w:val="Heading2"/>
        <w:keepNext/>
      </w:pPr>
      <w:r>
        <w:t xml:space="preserve">Evidence and Performance Stewardship</w:t>
      </w:r>
    </w:p>
    <w:p>
      <w:pPr>
        <w:pStyle w:val="ListBullet"/>
        <w:keepLines/>
      </w:pPr>
      <w:r>
        <w:t xml:space="preserve">Establish shared definitions, accountable data owners and validated reporting for student access, learning, services, staffing and finances.</w:t>
      </w:r>
    </w:p>
    <w:p>
      <w:pPr>
        <w:pStyle w:val="ListBullet"/>
        <w:keepLines/>
      </w:pPr>
      <w:r>
        <w:t xml:space="preserve">Use balanced evidence and disaggregated outcomes to evaluate strategy, recognize uncertainty and investigate unequal opportunity.</w:t>
      </w:r>
    </w:p>
    <w:p>
      <w:pPr>
        <w:pStyle w:val="ListBullet"/>
        <w:keepLines/>
      </w:pPr>
      <w:r>
        <w:t xml:space="preserve">Require program and product evaluations to address implementation, comparison quality, cost and sustainability; commission technical analysis when warranted.</w:t>
      </w:r>
    </w:p>
    <w:p>
      <w:pPr>
        <w:pStyle w:val="Heading2"/>
        <w:keepNext/>
      </w:pPr>
      <w:r>
        <w:t xml:space="preserve">Legal Compliance and Responsible Technology</w:t>
      </w:r>
    </w:p>
    <w:p>
      <w:pPr>
        <w:pStyle w:val="ListBullet"/>
        <w:keepLines/>
      </w:pPr>
      <w:r>
        <w:t xml:space="preserve">Maintain executive oversight of legal obligations, audit findings, required plans, reporting and corrective actions with counsel and designated specialists.</w:t>
      </w:r>
    </w:p>
    <w:p>
      <w:pPr>
        <w:pStyle w:val="ListBullet"/>
        <w:keepLines/>
      </w:pPr>
      <w:r>
        <w:t xml:space="preserve">Set district expectations for privacy, cybersecurity, records governance, accessibility, procurement and responsible AI; verify operational ownership and response readiness.</w:t>
      </w:r>
    </w:p>
    <w:p>
      <w:pPr>
        <w:pStyle w:val="ListBullet"/>
        <w:keepLines/>
      </w:pPr>
      <w:r>
        <w:t xml:space="preserve">Ensure consequential student and personnel decisions follow lawful procedures, authorized human review and documented evidence rather than unsupported automated scores.</w:t>
      </w:r>
    </w:p>
    <w:p>
      <w:pPr>
        <w:pStyle w:val="Heading2"/>
        <w:keepNext/>
      </w:pPr>
      <w:r>
        <w:t xml:space="preserve">People Resources and Public Trust</w:t>
      </w:r>
    </w:p>
    <w:p>
      <w:pPr>
        <w:pStyle w:val="ListBullet"/>
        <w:keepLines/>
      </w:pPr>
      <w:r>
        <w:t xml:space="preserve">Recommend and administer budgets, staffing and organizational plans within board authority; connect commitments to fiscal forecasts and delivery capacity.</w:t>
      </w:r>
    </w:p>
    <w:p>
      <w:pPr>
        <w:pStyle w:val="ListBullet"/>
        <w:keepLines/>
      </w:pPr>
      <w:r>
        <w:t xml:space="preserve">Develop leadership capacity for data-informed decisions, ethical records practices, sound supervision and clear communication.</w:t>
      </w:r>
    </w:p>
    <w:p>
      <w:pPr>
        <w:pStyle w:val="ListBullet"/>
        <w:keepLines/>
      </w:pPr>
      <w:r>
        <w:t xml:space="preserve">Report progress, limitations, risks and corrective actions publicly where appropriate, safeguard confidential matters and perform related duties within the appointment.</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District governance, instructional leadership, public administration, labor relations, fiscal stewardship and community engagement.</w:t>
      </w:r>
    </w:p>
    <w:p>
      <w:pPr>
        <w:pStyle w:val="ListBullet"/>
        <w:keepLines/>
      </w:pPr>
      <w:r>
        <w:t xml:space="preserve">Applicable education, employment, public governance, finance, records, civil-rights and student-protection requirements.</w:t>
      </w:r>
    </w:p>
    <w:p>
      <w:pPr>
        <w:pStyle w:val="ListBullet"/>
        <w:keepLines/>
      </w:pPr>
      <w:r>
        <w:t xml:space="preserve">District performance systems, longitudinal and subgroup analysis, forecasting, evaluation design and limits of causal claims.</w:t>
      </w:r>
    </w:p>
    <w:p>
      <w:pPr>
        <w:pStyle w:val="ListBullet"/>
        <w:keepLines/>
      </w:pPr>
      <w:r>
        <w:t xml:space="preserve">Data governance, enterprise systems, cybersecurity oversight, responsible AI, accessible reporting and organizational change.</w:t>
      </w:r>
    </w:p>
    <w:p>
      <w:pPr>
        <w:pStyle w:val="Heading2"/>
        <w:keepNext/>
      </w:pPr>
      <w:r>
        <w:t>Ability to</w:t>
      </w:r>
    </w:p>
    <w:p>
      <w:pPr>
        <w:pStyle w:val="ListBullet"/>
        <w:keepLines/>
      </w:pPr>
      <w:r>
        <w:t xml:space="preserve">Translate priorities in district strategy, educational quality, personnel, fiscal stewardship, operations, community partnership, and implementation of governing board policy into feasible plans, clear responsibilities and measurable follow-through.</w:t>
      </w:r>
    </w:p>
    <w:p>
      <w:pPr>
        <w:pStyle w:val="ListBullet"/>
        <w:keepLines/>
      </w:pPr>
      <w:r>
        <w:t xml:space="preserve">Validate district student outcomes, service delivery and fiscal sustainability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Superintendent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Superintendent</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