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pPr>
        <w:spacing w:after="80"/>
      </w:pPr>
      <w:r>
        <w:rPr>
          <w:rFonts w:ascii="Aptos" w:hAnsi="Aptos"/>
          <w:b/>
          <w:color w:val="315F74"/>
          <w:sz w:val="20"/>
        </w:rPr>
        <w:t>EXAMPLE JOB DESCRIPTION</w:t>
      </w:r>
    </w:p>
    <w:p>
      <w:pPr>
        <w:pStyle w:val="Title"/>
        <w:spacing w:after="100"/>
      </w:pPr>
      <w:r>
        <w:rPr>
          <w:rFonts w:ascii="Aptos" w:hAnsi="Aptos"/>
          <w:b/>
          <w:color w:val="315F74"/>
          <w:sz w:val="52"/>
        </w:rPr>
        <w:t xml:space="preserve">High School Principal</w:t>
      </w:r>
    </w:p>
    <w:p>
      <w:pPr>
        <w:spacing w:after="240"/>
      </w:pPr>
      <w:r>
        <w:rPr>
          <w:rFonts w:ascii="Aptos" w:hAnsi="Aptos"/>
          <w:b/>
          <w:color w:val="66747A"/>
          <w:sz w:val="24"/>
        </w:rPr>
        <w:t xml:space="preserve">Instructional Leadership, Evidence, and Student Success</w:t>
      </w:r>
    </w:p>
    <w:p>
      <w:pPr>
        <w:keepLines/>
        <w:spacing w:before="120" w:after="160"/>
        <w:ind w:left="230" w:right="115"/>
        <w:pBdr>
          <w:left w:val="single" w:sz="18" w:space="8" w:color="FDAB42"/>
        </w:pBdr>
        <w:shd w:fill="EAF3F7"/>
      </w:pPr>
      <w:r>
        <w:rPr>
          <w:rFonts w:ascii="Aptos" w:hAnsi="Aptos"/>
          <w:b/>
          <w:color w:val="315F74"/>
          <w:sz w:val="19"/>
        </w:rPr>
        <w:t xml:space="preserve">REFERENCE RESOURCE - NOT A JOB POSTING. </w:t>
      </w:r>
      <w:r>
        <w:rPr>
          <w:rFonts w:ascii="Aptos" w:hAnsi="Aptos"/>
          <w:color w:val="66747A"/>
          <w:sz w:val="19"/>
        </w:rPr>
        <w:t>This example does not represent an open position with the School Data Leadership Association.</w:t>
      </w:r>
    </w:p>
    <w:p>
      <w:pPr>
        <w:pStyle w:val="Heading1"/>
        <w:keepNext/>
        <w:pBdr>
          <w:left w:val="single" w:sz="18" w:space="8" w:color="FDAB42"/>
        </w:pBdr>
      </w:pPr>
      <w:r>
        <w:t>Position Information</w:t>
      </w:r>
    </w:p>
    <w:tbl>
      <w:tblPr>
        <w:tblStyle w:val="TableGrid"/>
        <w:tblW w:type="dxa" w:w="9360"/>
        <w:jc w:val="left"/>
        <w:tblLayout w:type="fixed"/>
        <w:tblLook w:firstColumn="1" w:firstRow="1" w:lastColumn="0" w:lastRow="0" w:noHBand="0" w:noVBand="1" w:val="04A0"/>
        <w:tblInd w:w="0" w:type="dxa"/>
      </w:tblPr>
      <w:tblGrid>
        <w:gridCol w:w="2520"/>
        <w:gridCol w:w="6840"/>
      </w:tblGrid>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Department / Division</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district-specific department or division</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Classification</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 xml:space="preserve">Certificated Management (illustrative; local review required)</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Employment Status</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Full-time; insert district-determined exempt or nonexempt status</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Work Year</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annual workdays or work-calendar information</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Salary Range</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salary schedule and range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Bargaining Unit</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bargaining-unit or unrepresented-management designation</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Primary Location</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district-specific primary location</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Position Number</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district position or classification number</w:t>
            </w:r>
          </w:p>
        </w:tc>
      </w:tr>
    </w:tbl>
    <w:p>
      <w:pPr>
        <w:pStyle w:val="Heading1"/>
        <w:keepNext/>
        <w:pBdr>
          <w:left w:val="single" w:sz="18" w:space="8" w:color="FDAB42"/>
        </w:pBdr>
      </w:pPr>
      <w:r>
        <w:t>Position Description</w:t>
      </w:r>
    </w:p>
    <w:p>
      <w:r>
        <w:t xml:space="preserve">Under the direction of the appropriate district administrator, the High School Principal leads instruction, personnel, school operations, safety, family engagement, and student support across the high school grades. The principal establishes high expectations and a welcoming, inclusive school culture.</w:t>
      </w:r>
    </w:p>
    <w:p>
      <w:r>
        <w:t xml:space="preserve">The position makes evidence use a routine leadership practice: connecting transcripts, credit attainment, attendance, course access, graduation cohorts, and college/career pathway participation to instructional and operational decisions while protecting privacy, documenting compliance, and strengthening staff data literacy. Analytics and technology support professional judgment and student opportunity; they do not replace individualized review or required decision processes.</w:t>
      </w:r>
    </w:p>
    <w:p>
      <w:pPr>
        <w:pStyle w:val="Heading1"/>
        <w:keepNext/>
        <w:pBdr>
          <w:left w:val="single" w:sz="18" w:space="8" w:color="FDAB42"/>
        </w:pBdr>
      </w:pPr>
      <w:r>
        <w:t>Reports To</w:t>
      </w:r>
    </w:p>
    <w:p>
      <w:r>
        <w:rPr>
          <w:rFonts w:ascii="Aptos" w:hAnsi="Aptos"/>
          <w:i/>
          <w:color w:val="66747A"/>
        </w:rPr>
        <w:t xml:space="preserve">Illustrative reporting relationship: Director of Secondary Education, principal supervisor, assistant superintendent, or other designated district administrator. Insert the district-approved reporting relationship.</w:t>
      </w:r>
    </w:p>
    <w:p>
      <w:pPr>
        <w:pStyle w:val="Heading1"/>
        <w:keepNext/>
        <w:pBdr>
          <w:left w:val="single" w:sz="18" w:space="8" w:color="FDAB42"/>
        </w:pBdr>
      </w:pPr>
      <w:r>
        <w:t>Required Education and Credentials</w:t>
      </w:r>
    </w:p>
    <w:p>
      <w:pPr>
        <w:pStyle w:val="Heading2"/>
        <w:keepNext/>
      </w:pPr>
      <w:r>
        <w:t>Required</w:t>
      </w:r>
    </w:p>
    <w:p>
      <w:pPr>
        <w:pStyle w:val="ListBullet"/>
        <w:keepLines/>
      </w:pPr>
      <w:r>
        <w:t xml:space="preserve">Illustrative district qualification for review: master's degree in educational leadership, education, or a related field; the district should confirm its degree requirement and permitted equivalents.</w:t>
      </w:r>
    </w:p>
    <w:p>
      <w:pPr>
        <w:pStyle w:val="ListBullet"/>
        <w:keepLines/>
      </w:pPr>
      <w:r>
        <w:t xml:space="preserve">Hold a valid California Administrative Services Credential or other authorization appropriate to the actual assignment. District HR must verify current authorization and any additional credential requirements against the final duties.</w:t>
      </w:r>
    </w:p>
    <w:p>
      <w:pPr>
        <w:pStyle w:val="ListBullet"/>
        <w:keepLines/>
      </w:pPr>
      <w:r>
        <w:t xml:space="preserve">Complete district-required employment clearances and training in student privacy, nondiscrimination, accessibility, records, safety, and responsible use of technology.</w:t>
      </w:r>
    </w:p>
    <w:p>
      <w:pPr>
        <w:pStyle w:val="Heading2"/>
        <w:keepNext/>
      </w:pPr>
      <w:r>
        <w:t>Preferred</w:t>
      </w:r>
    </w:p>
    <w:p>
      <w:pPr>
        <w:pStyle w:val="ListBullet"/>
        <w:keepLines/>
      </w:pPr>
      <w:r>
        <w:t xml:space="preserve">Graduate coursework or sustained professional learning in applied statistics, program evaluation, improvement science, education data systems, or responsible AI for educational decision-making.</w:t>
      </w:r>
    </w:p>
    <w:p>
      <w:pPr>
        <w:pStyle w:val="ListBullet"/>
        <w:keepLines/>
      </w:pPr>
      <w:r>
        <w:t xml:space="preserve">Training in inclusive leadership, multilingual learner services, special education, family engagement, and coaching adults to use evidence effectively.</w:t>
      </w:r>
    </w:p>
    <w:p>
      <w:pPr>
        <w:pStyle w:val="Heading1"/>
        <w:keepNext/>
        <w:pBdr>
          <w:left w:val="single" w:sz="18" w:space="8" w:color="FDAB42"/>
        </w:pBdr>
      </w:pPr>
      <w:r>
        <w:t>Required / Desired Experience</w:t>
      </w:r>
    </w:p>
    <w:p>
      <w:pPr>
        <w:pStyle w:val="Heading2"/>
        <w:keepNext/>
      </w:pPr>
      <w:r>
        <w:t>Required Experience</w:t>
      </w:r>
    </w:p>
    <w:p>
      <w:pPr>
        <w:pStyle w:val="ListBullet"/>
        <w:keepLines/>
      </w:pPr>
      <w:r>
        <w:t xml:space="preserve">Illustrative minimum for district review: five years of successful K–12 education experience, including substantial classroom teaching and progressively responsible school leadership; confirm local experience thresholds and permitted equivalents.</w:t>
      </w:r>
    </w:p>
    <w:p>
      <w:pPr>
        <w:pStyle w:val="ListBullet"/>
        <w:keepLines/>
      </w:pPr>
      <w:r>
        <w:t xml:space="preserve">Experience coaching and supervising adults, leading instructional improvement, coordinating student supports, and partnering with families and diverse communities.</w:t>
      </w:r>
    </w:p>
    <w:p>
      <w:pPr>
        <w:pStyle w:val="ListBullet"/>
        <w:keepLines/>
      </w:pPr>
      <w:r>
        <w:t xml:space="preserve">Demonstrated experience using transcripts, credit attainment, attendance, course access, graduation cohorts, and college/career pathway participation to identify needs, test improvements, and explain results without overstating what the evidence supports.</w:t>
      </w:r>
    </w:p>
    <w:p>
      <w:pPr>
        <w:pStyle w:val="Heading2"/>
        <w:keepNext/>
      </w:pPr>
      <w:r>
        <w:t>Desired Experience</w:t>
      </w:r>
    </w:p>
    <w:p>
      <w:pPr>
        <w:pStyle w:val="ListBullet"/>
        <w:keepLines/>
      </w:pPr>
      <w:r>
        <w:t xml:space="preserve">School leadership experience at the relevant grade span, including inclusive instruction, multilingual learner support, special education collaboration, and equitable resource allocation.</w:t>
      </w:r>
    </w:p>
    <w:p>
      <w:pPr>
        <w:pStyle w:val="ListBullet"/>
        <w:keepLines/>
      </w:pPr>
      <w:r>
        <w:t xml:space="preserve">Experience with approved student information, assessment, learning-management, and intervention platforms; spreadsheet analysis and dashboards using tools such as Excel, Google Sheets, Power BI, Tableau, or equivalents.</w:t>
      </w:r>
    </w:p>
    <w:p>
      <w:pPr>
        <w:pStyle w:val="Heading1"/>
        <w:keepNext/>
        <w:pBdr>
          <w:left w:val="single" w:sz="18" w:space="8" w:color="FDAB42"/>
        </w:pBdr>
      </w:pPr>
      <w:r>
        <w:t>Essential Duties and Responsibilities</w:t>
      </w:r>
    </w:p>
    <w:p>
      <w:pPr>
        <w:pStyle w:val="Heading2"/>
        <w:keepNext/>
      </w:pPr>
      <w:r>
        <w:t xml:space="preserve">Instructional Leadership and Equitable Opportunity</w:t>
      </w:r>
    </w:p>
    <w:p>
      <w:pPr>
        <w:pStyle w:val="ListBullet"/>
        <w:keepLines/>
      </w:pPr>
      <w:r>
        <w:t xml:space="preserve">Lead rigorous, inclusive high-school instruction, coherent graduation planning, and equitable access to college-preparatory coursework, career pathways, arts, and other learning opportunities.</w:t>
      </w:r>
    </w:p>
    <w:p>
      <w:pPr>
        <w:pStyle w:val="ListBullet"/>
        <w:keepLines/>
      </w:pPr>
      <w:r>
        <w:t xml:space="preserve">Supervise teaching and counseling practices; organize collaborative inquiry and professional learning grounded in student work, course outcomes, and postsecondary aspirations.</w:t>
      </w:r>
    </w:p>
    <w:p>
      <w:pPr>
        <w:pStyle w:val="ListBullet"/>
        <w:keepLines/>
      </w:pPr>
      <w:r>
        <w:t xml:space="preserve">Coordinate master scheduling, course demand, credit recovery, dual enrollment, and pathway access with counselors and program leaders; verify approved requirements before advising students.</w:t>
      </w:r>
    </w:p>
    <w:p>
      <w:pPr>
        <w:pStyle w:val="Heading2"/>
        <w:keepNext/>
      </w:pPr>
      <w:r>
        <w:t xml:space="preserve">Data Inquiry and Student Progress</w:t>
      </w:r>
    </w:p>
    <w:p>
      <w:pPr>
        <w:pStyle w:val="ListBullet"/>
        <w:keepLines/>
      </w:pPr>
      <w:r>
        <w:t xml:space="preserve">Monitor credit attainment, transcript accuracy, attendance, course completion, and graduation-cohort records; reconcile conflicting records with counselors, registrars, and district data owners.</w:t>
      </w:r>
    </w:p>
    <w:p>
      <w:pPr>
        <w:pStyle w:val="ListBullet"/>
        <w:keepLines/>
      </w:pPr>
      <w:r>
        <w:t xml:space="preserve">Analyze access, persistence, and outcomes in college-preparatory courses, advanced coursework, dual enrollment, and career pathways, including who is eligible, enrolled, excluded, or missing from the data.</w:t>
      </w:r>
    </w:p>
    <w:p>
      <w:pPr>
        <w:pStyle w:val="ListBullet"/>
        <w:keepLines/>
      </w:pPr>
      <w:r>
        <w:t xml:space="preserve">Evaluate credit recovery and alternative supports for learning quality and sustained outcomes; distinguish graduation, college eligibility, and broader readiness rather than treating them as interchangeable measures.</w:t>
      </w:r>
    </w:p>
    <w:p>
      <w:pPr>
        <w:pStyle w:val="Heading2"/>
        <w:keepNext/>
      </w:pPr>
      <w:r>
        <w:t xml:space="preserve">School Operations, Compliance and Information Stewardship</w:t>
      </w:r>
    </w:p>
    <w:p>
      <w:pPr>
        <w:pStyle w:val="ListBullet"/>
        <w:keepLines/>
      </w:pPr>
      <w:r>
        <w:t xml:space="preserve">Supervise and evaluate staff, administer assigned budgets, coordinate school safety and student discipline, and maintain required documentation in accordance with district procedures and delegated authority.</w:t>
      </w:r>
    </w:p>
    <w:p>
      <w:pPr>
        <w:pStyle w:val="ListBullet"/>
        <w:keepLines/>
      </w:pPr>
      <w:r>
        <w:t xml:space="preserve">Establish school-level checks for attendance, enrollment, program participation, grading, and other assigned records; resolve discrepancies with responsible district offices before submission or public reporting.</w:t>
      </w:r>
    </w:p>
    <w:p>
      <w:pPr>
        <w:pStyle w:val="ListBullet"/>
        <w:keepLines/>
      </w:pPr>
      <w:r>
        <w:t xml:space="preserve">Enforce approved access and sharing, secure communications, accessibility, and retention practices; review proposed apps and AI uses through district approval channels and never place confidential records in unapproved tools.</w:t>
      </w:r>
    </w:p>
    <w:p>
      <w:pPr>
        <w:pStyle w:val="Heading2"/>
        <w:keepNext/>
      </w:pPr>
      <w:r>
        <w:t xml:space="preserve">People, Partnerships and Continuous Improvement</w:t>
      </w:r>
    </w:p>
    <w:p>
      <w:pPr>
        <w:pStyle w:val="ListBullet"/>
        <w:keepLines/>
      </w:pPr>
      <w:r>
        <w:t xml:space="preserve">Develop a school improvement plan with staff, students as appropriate, families, and district partners; connect actions and resources to measurable needs, implementation evidence, and equitable outcomes.</w:t>
      </w:r>
    </w:p>
    <w:p>
      <w:pPr>
        <w:pStyle w:val="ListBullet"/>
        <w:keepLines/>
      </w:pPr>
      <w:r>
        <w:t xml:space="preserve">Build staff capability to interpret distributions, denominators, uncertainty, subgroup patterns, and change over time; provide protected inquiry time and nonpunitive feedback on data quality.</w:t>
      </w:r>
    </w:p>
    <w:p>
      <w:pPr>
        <w:pStyle w:val="ListBullet"/>
        <w:keepLines/>
      </w:pPr>
      <w:r>
        <w:t xml:space="preserve">Explain findings in accessible language, protect small groups from identification, coordinate entry from middle school, reentry, graduation, and transitions to college, careers, or adult services, and report progress, limitations, unresolved risks, and related duties within the classification.</w:t>
      </w:r>
    </w:p>
    <w:p>
      <w:pPr>
        <w:pStyle w:val="Heading1"/>
        <w:keepNext/>
        <w:pBdr>
          <w:left w:val="single" w:sz="18" w:space="8" w:color="FDAB42"/>
        </w:pBdr>
      </w:pPr>
      <w:r>
        <w:t>Required Skills and Abilities</w:t>
      </w:r>
    </w:p>
    <w:p>
      <w:pPr>
        <w:pStyle w:val="Heading2"/>
        <w:keepNext/>
      </w:pPr>
      <w:r>
        <w:t>Knowledge of</w:t>
      </w:r>
    </w:p>
    <w:p>
      <w:pPr>
        <w:pStyle w:val="ListBullet"/>
        <w:keepLines/>
      </w:pPr>
      <w:r>
        <w:t xml:space="preserve">Grade-span curriculum, inclusive instruction, assessment literacy, student development, school leadership, personnel supervision, safety, and family engagement.</w:t>
      </w:r>
    </w:p>
    <w:p>
      <w:pPr>
        <w:pStyle w:val="ListBullet"/>
        <w:keepLines/>
      </w:pPr>
      <w:r>
        <w:t xml:space="preserve">School improvement and practical data analysis, including growth, cohort versus snapshot measures, missingness, subgroup analysis, and the distinction between association and causation.</w:t>
      </w:r>
    </w:p>
    <w:p>
      <w:pPr>
        <w:pStyle w:val="ListBullet"/>
        <w:keepLines/>
      </w:pPr>
      <w:r>
        <w:t xml:space="preserve">Assigned attendance, accountability, student-record, special-program, nondiscrimination, accessibility, privacy, and school-operation requirements, including FERPA and district approval procedures.</w:t>
      </w:r>
    </w:p>
    <w:p>
      <w:pPr>
        <w:pStyle w:val="ListBullet"/>
        <w:keepLines/>
      </w:pPr>
      <w:r>
        <w:t xml:space="preserve">Modern student information, assessment, intervention and reporting systems; spreadsheet and dashboard tools; and limitations, bias, and privacy risks in predictive analytics and generative AI.</w:t>
      </w:r>
    </w:p>
    <w:p>
      <w:pPr>
        <w:pStyle w:val="Heading2"/>
        <w:keepNext/>
      </w:pPr>
      <w:r>
        <w:t>Ability to</w:t>
      </w:r>
    </w:p>
    <w:p>
      <w:pPr>
        <w:pStyle w:val="ListBullet"/>
        <w:keepLines/>
      </w:pPr>
      <w:r>
        <w:t xml:space="preserve">Connect instructional leadership and student relationships to evidence-informed action without reducing students or educators to a single measure.</w:t>
      </w:r>
    </w:p>
    <w:p>
      <w:pPr>
        <w:pStyle w:val="ListBullet"/>
        <w:keepLines/>
      </w:pPr>
      <w:r>
        <w:t xml:space="preserve">Ask clear analytical questions; verify sources, definitions, assessment conditions, and denominators before interpreting results.</w:t>
      </w:r>
    </w:p>
    <w:p>
      <w:pPr>
        <w:pStyle w:val="ListBullet"/>
        <w:keepLines/>
      </w:pPr>
      <w:r>
        <w:t xml:space="preserve">Lead collaborative inquiry, identify unequal opportunities, select feasible supports, and monitor whether implementation and outcomes improve.</w:t>
      </w:r>
    </w:p>
    <w:p>
      <w:pPr>
        <w:pStyle w:val="ListBullet"/>
        <w:keepLines/>
      </w:pPr>
      <w:r>
        <w:t xml:space="preserve">Coach staff in accessible reports and approved tools, and collaborate with analysts on statistical or technical questions beyond school-level expertise.</w:t>
      </w:r>
    </w:p>
    <w:p>
      <w:pPr>
        <w:pStyle w:val="ListBullet"/>
        <w:keepLines/>
      </w:pPr>
      <w:r>
        <w:t xml:space="preserve">Exercise sound judgment in sensitive matters, protect records, document decisions, and escalate legal, privacy, or policy questions through authorized channels.</w:t>
      </w:r>
    </w:p>
    <w:p>
      <w:pPr>
        <w:pStyle w:val="ListBullet"/>
        <w:keepLines/>
      </w:pPr>
      <w:r>
        <w:t xml:space="preserve">Communicate uncertainty and next steps clearly to staff, students, families, and district leaders, with language access and accessibility as needed.</w:t>
      </w:r>
    </w:p>
    <w:p>
      <w:pPr>
        <w:pStyle w:val="Heading1"/>
        <w:keepNext/>
        <w:pBdr>
          <w:left w:val="single" w:sz="18" w:space="8" w:color="FDAB42"/>
        </w:pBdr>
      </w:pPr>
      <w:r>
        <w:t>Work Environment</w:t>
      </w:r>
    </w:p>
    <w:p>
      <w:pPr>
        <w:pStyle w:val="ListBullet"/>
        <w:keepLines/>
      </w:pPr>
      <w:r>
        <w:t xml:space="preserve">Work is performed in district offices, classrooms, school grounds, meeting rooms, and other professional settings, with remote participation as authorized.</w:t>
      </w:r>
    </w:p>
    <w:p>
      <w:pPr>
        <w:pStyle w:val="ListBullet"/>
        <w:keepLines/>
      </w:pPr>
      <w:r>
        <w:t xml:space="preserve">The position involves computer use, school visits, observation, facilitation, and detailed review of records, dashboards, assessments, reports, and communications.</w:t>
      </w:r>
    </w:p>
    <w:p>
      <w:pPr>
        <w:pStyle w:val="ListBullet"/>
        <w:keepLines/>
      </w:pPr>
      <w:r>
        <w:t xml:space="preserve">Work requires frequent coordination with students, families, teachers, counselors, support staff, district specialists, data teams, and community partners.</w:t>
      </w:r>
    </w:p>
    <w:p>
      <w:pPr>
        <w:pStyle w:val="ListBullet"/>
        <w:keepLines/>
      </w:pPr>
      <w:r>
        <w:t xml:space="preserve">The employee encounters interruptions, competing priorities, sensitive student and personnel matters, and urgent concerns requiring calm, documented judgment.</w:t>
      </w:r>
    </w:p>
    <w:p>
      <w:pPr>
        <w:pStyle w:val="ListBullet"/>
        <w:keepLines/>
      </w:pPr>
      <w:r>
        <w:t xml:space="preserve">Workload may increase during school opening and closing, assessment windows, reporting cycles, student transitions, public events, and urgent safety or support needs.</w:t>
      </w:r>
    </w:p>
    <w:p>
      <w:pPr>
        <w:pStyle w:val="Heading1"/>
        <w:keepNext/>
        <w:pageBreakBefore/>
        <w:pBdr>
          <w:left w:val="single" w:sz="18" w:space="8" w:color="FDAB42"/>
        </w:pBdr>
      </w:pPr>
      <w:r>
        <w:t>Other Requirements</w:t>
      </w:r>
    </w:p>
    <w:p>
      <w:pPr>
        <w:pStyle w:val="ListBullet"/>
        <w:keepLines/>
      </w:pPr>
      <w:r>
        <w:t xml:space="preserve">Successfully complete required criminal-record, fingerprint, and employment clearances.</w:t>
      </w:r>
    </w:p>
    <w:p>
      <w:pPr>
        <w:pStyle w:val="ListBullet"/>
        <w:keepLines/>
      </w:pPr>
      <w:r>
        <w:t xml:space="preserve">Complete a tuberculosis risk assessment and any examination required by applicable law or district policy.</w:t>
      </w:r>
    </w:p>
    <w:p>
      <w:pPr>
        <w:pStyle w:val="ListBullet"/>
        <w:keepLines/>
      </w:pPr>
      <w:r>
        <w:t xml:space="preserve">Maintain required credentials and complete district-assigned training in privacy, cybersecurity, accessibility, nondiscrimination, mandated reporting, and workplace safety.</w:t>
      </w:r>
    </w:p>
    <w:p>
      <w:pPr>
        <w:pStyle w:val="ListBullet"/>
        <w:keepLines/>
      </w:pPr>
      <w:r>
        <w:t xml:space="preserve">Protect confidential student and employee records; follow approved access, sharing, retention, incident-reporting, and records-request procedures.</w:t>
      </w:r>
    </w:p>
    <w:p>
      <w:pPr>
        <w:pStyle w:val="ListBullet"/>
        <w:keepLines/>
      </w:pPr>
      <w:r>
        <w:t xml:space="preserve">Travel between district offices, schools, professional-learning locations, and community meetings as assigned.</w:t>
      </w:r>
    </w:p>
    <w:p>
      <w:pPr>
        <w:pStyle w:val="ListBullet"/>
        <w:keepLines/>
      </w:pPr>
      <w:r>
        <w:t xml:space="preserve">Possess a valid California driver's license and maintain insurability when driving is an essential function; confirm the district's actual travel requirements.</w:t>
      </w:r>
    </w:p>
    <w:p>
      <w:pPr>
        <w:pStyle w:val="ListBullet"/>
        <w:keepLines/>
      </w:pPr>
      <w:r>
        <w:t xml:space="preserve">Occasionally work evenings, weekends, or extended hours for school events, public meetings, reporting deadlines, or urgent student and operational matters.</w:t>
      </w:r>
    </w:p>
    <w:p>
      <w:pPr>
        <w:pStyle w:val="ListBullet"/>
        <w:keepLines/>
      </w:pPr>
      <w:r>
        <w:t xml:space="preserve">Perform office and school-based activities involving sitting, standing, walking, communication, and computer use; confirm any role-specific lifting or other physical requirements through local job analysis.</w:t>
      </w:r>
    </w:p>
    <w:p>
      <w:pPr>
        <w:pStyle w:val="ListBullet"/>
        <w:keepLines/>
      </w:pPr>
      <w:r>
        <w:t xml:space="preserve">Perform the essential functions of the position with or without reasonable accommodation.</w:t>
      </w:r>
    </w:p>
    <w:p>
      <w:pPr>
        <w:pStyle w:val="Heading1"/>
        <w:keepNext/>
        <w:pageBreakBefore/>
        <w:pBdr>
          <w:left w:val="single" w:sz="18" w:space="8" w:color="FDAB42"/>
        </w:pBdr>
      </w:pPr>
      <w:r>
        <w:t>Document Control and Local Adoption</w:t>
      </w:r>
    </w:p>
    <w:tbl>
      <w:tblPr>
        <w:tblStyle w:val="TableGrid"/>
        <w:tblW w:type="dxa" w:w="9360"/>
        <w:jc w:val="left"/>
        <w:tblLayout w:type="fixed"/>
        <w:tblLook w:firstColumn="1" w:firstRow="1" w:lastColumn="0" w:lastRow="0" w:noHBand="0" w:noVBand="1" w:val="04A0"/>
        <w:tblInd w:w="0" w:type="dxa"/>
      </w:tblPr>
      <w:tblGrid>
        <w:gridCol w:w="2520"/>
        <w:gridCol w:w="6840"/>
      </w:tblGrid>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Governing Board Approval Date</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date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Effective Date</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date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Last Revision Date</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date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Human Resources Review Date</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date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Job Description Number</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number</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Salary Schedule Reference</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schedule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Governing Policy Reference</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applicable policy</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Collective Bargaining Reference</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if applicable</w:t>
            </w:r>
          </w:p>
        </w:tc>
      </w:tr>
    </w:tbl>
    <w:p>
      <w:pPr>
        <w:keepLines/>
        <w:spacing w:before="120" w:after="160"/>
        <w:ind w:left="230" w:right="115"/>
        <w:pBdr>
          <w:left w:val="single" w:sz="18" w:space="8" w:color="FDAB42"/>
        </w:pBdr>
        <w:shd w:fill="F4F5F6"/>
      </w:pPr>
      <w:r>
        <w:rPr>
          <w:rFonts w:ascii="Aptos" w:hAnsi="Aptos"/>
          <w:b/>
          <w:color w:val="315F74"/>
          <w:sz w:val="19"/>
        </w:rPr>
        <w:t xml:space="preserve">LOCAL ADAPTATION REQUIRED. </w:t>
      </w:r>
      <w:r>
        <w:rPr>
          <w:rFonts w:ascii="Aptos" w:hAnsi="Aptos"/>
          <w:color w:val="66747A"/>
          <w:sz w:val="19"/>
        </w:rPr>
        <w:t>This description identifies the general nature and principal responsibilities of the position. The employing district should identify the position's actual essential functions and revise all requirements to reflect its operations, board policies, collective bargaining agreements, and applicable laws. Local human-resources and legal review is recommended before formal adoption.</w:t>
      </w:r>
    </w:p>
    <w:p>
      <w:pPr>
        <w:keepLines/>
        <w:spacing w:before="120" w:after="160"/>
        <w:ind w:left="230" w:right="115"/>
        <w:pBdr>
          <w:left w:val="single" w:sz="18" w:space="8" w:color="315F74"/>
        </w:pBdr>
        <w:shd w:fill="EAF3F7"/>
      </w:pPr>
      <w:r>
        <w:rPr>
          <w:rFonts w:ascii="Aptos" w:hAnsi="Aptos"/>
          <w:b/>
          <w:color w:val="315F74"/>
          <w:sz w:val="19"/>
        </w:rPr>
        <w:t xml:space="preserve">SDLA EXEMPLAR AND USE NOTICE. </w:t>
      </w:r>
      <w:r>
        <w:rPr>
          <w:rFonts w:ascii="Aptos" w:hAnsi="Aptos"/>
          <w:color w:val="66747A"/>
          <w:sz w:val="19"/>
        </w:rPr>
        <w:t>This exemplar High School Principal job description is provided as a free resource for school districts by the School Data Leadership Association. It is an educational reference template, not an employment announcement or recruitment by SDLA. It is intended as a customizable starting point and does not constitute legal, human-resources, employment, or regulatory advice. SDLA makes no representations regarding its accuracy, completeness, currency, or suitability for a particular organization, position, or jurisdiction. School districts are welcome to use and adapt it.</w:t>
      </w:r>
    </w:p>
    <w:sectPr w:rsidR="00C7230F" w:rsidSect="00034616">
      <w:headerReference w:type="default" r:id="rId8"/>
      <w:footerReference w:type="default" r:id="rId9"/>
      <w:headerReference w:type="even" r:id="rId12"/>
      <w:footerReference w:type="even" r:id="rId13"/>
      <w:pgSz w:w="12240" w:h="15840"/>
      <w:pgMar w:top="1123" w:right="1296" w:bottom="1123" w:left="1296" w:header="504"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C6A1A43" w14:textId="77777777" w:rsidR="00A91A23" w:rsidRDefault="00A91A23">
      <w:pPr>
        <w:spacing w:after="0" w:line="240" w:lineRule="auto"/>
      </w:pPr>
      <w:r>
        <w:separator/>
      </w:r>
    </w:p>
  </w:endnote>
  <w:endnote w:type="continuationSeparator" w:id="0">
    <w:p w14:paraId="4DE04C61" w14:textId="77777777" w:rsidR="00A91A23" w:rsidRDefault="00A91A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1F965A5" w14:textId="77777777" w:rsidR="00C7230F" w:rsidRDefault="00000000">
    <w:pPr>
      <w:pStyle w:val="Footer"/>
      <w:spacing w:before="0"/>
      <w:jc w:val="center"/>
    </w:pPr>
    <w:r>
      <w:rPr>
        <w:rFonts w:ascii="Aptos" w:hAnsi="Aptos"/>
        <w:color w:val="66747A"/>
        <w:sz w:val="16"/>
      </w:rPr>
      <w:t>Reference resource - not a job posting  |  schooldataleadership.org</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jc w:val="center"/>
    </w:pPr>
    <w:r>
      <w:rPr>
        <w:rFonts w:ascii="Aptos" w:hAnsi="Aptos"/>
        <w:color w:val="66747A"/>
        <w:sz w:val="16"/>
      </w:rPr>
      <w:t>Reference resource - not a job posting  |  schooldataleadership.org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BC6EB3B" w14:textId="77777777" w:rsidR="00A91A23" w:rsidRDefault="00A91A23">
      <w:pPr>
        <w:spacing w:after="0" w:line="240" w:lineRule="auto"/>
      </w:pPr>
      <w:r>
        <w:separator/>
      </w:r>
    </w:p>
  </w:footnote>
  <w:footnote w:type="continuationSeparator" w:id="0">
    <w:p w14:paraId="7FF97964" w14:textId="77777777" w:rsidR="00A91A23" w:rsidRDefault="00A91A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F902A1" w14:textId="77777777" w:rsidR="00C7230F" w:rsidRDefault="00000000">
    <w:pPr>
      <w:pStyle w:val="Header"/>
      <w:spacing w:after="0"/>
      <w:jc w:val="right"/>
    </w:pPr>
    <w:r>
      <w:rPr>
        <w:rFonts w:ascii="Aptos" w:hAnsi="Aptos"/>
        <w:b/>
        <w:color w:val="66747A"/>
        <w:sz w:val="17"/>
      </w:rPr>
      <w:t>SCHOOL DATA LEADERSHIP ASSOCIATION  |  EXAMPLE JOB DESCRIPTION</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right"/>
    </w:pPr>
    <w:r>
      <w:rPr>
        <w:rFonts w:ascii="Aptos" w:hAnsi="Aptos"/>
        <w:b/>
        <w:color w:val="66747A"/>
        <w:sz w:val="17"/>
      </w:rPr>
      <w:t>SCHOOL DATA LEADERSHIP ASSOCIATION  |  EXAMPLE JOB DESCRIPTION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42109458">
    <w:abstractNumId w:val="8"/>
  </w:num>
  <w:num w:numId="2" w16cid:durableId="1224675748">
    <w:abstractNumId w:val="6"/>
  </w:num>
  <w:num w:numId="3" w16cid:durableId="1091858067">
    <w:abstractNumId w:val="5"/>
  </w:num>
  <w:num w:numId="4" w16cid:durableId="633681223">
    <w:abstractNumId w:val="4"/>
  </w:num>
  <w:num w:numId="5" w16cid:durableId="1070032234">
    <w:abstractNumId w:val="7"/>
  </w:num>
  <w:num w:numId="6" w16cid:durableId="1834876961">
    <w:abstractNumId w:val="3"/>
  </w:num>
  <w:num w:numId="7" w16cid:durableId="107553760">
    <w:abstractNumId w:val="2"/>
  </w:num>
  <w:num w:numId="8" w16cid:durableId="941649264">
    <w:abstractNumId w:val="1"/>
  </w:num>
  <w:num w:numId="9" w16cid:durableId="102479284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1"/>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4DE1"/>
    <w:rsid w:val="00034616"/>
    <w:rsid w:val="0006063C"/>
    <w:rsid w:val="0015074B"/>
    <w:rsid w:val="0029639D"/>
    <w:rsid w:val="00326F90"/>
    <w:rsid w:val="008271F0"/>
    <w:rsid w:val="00A91A23"/>
    <w:rsid w:val="00AA1D8D"/>
    <w:rsid w:val="00B47730"/>
    <w:rsid w:val="00BB56FD"/>
    <w:rsid w:val="00C7230F"/>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C6306BF"/>
  <w14:defaultImageDpi w14:val="300"/>
  <w15:docId w15:val="{0B011544-D1D3-5142-AEDD-E4317B6AA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64" w:lineRule="auto"/>
    </w:pPr>
    <w:rPr>
      <w:rFonts w:ascii="Aptos" w:hAnsi="Aptos"/>
      <w:color w:val="26383F"/>
      <w:sz w:val="21"/>
    </w:rPr>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Aptos Display" w:hAnsi="Aptos Display"/>
      <w:b/>
      <w:bCs/>
      <w:color w:val="315F74"/>
      <w:sz w:val="32"/>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Theme="majorHAnsi" w:eastAsiaTheme="majorEastAsia" w:hAnsiTheme="majorHAnsi" w:cstheme="majorBidi" w:ascii="Aptos Display" w:hAnsi="Aptos Display"/>
      <w:b/>
      <w:bCs/>
      <w:color w:val="315F74"/>
      <w:sz w:val="24"/>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b/>
      <w:bCs/>
      <w:color w:val="244A5C"/>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254" w:lineRule="auto"/>
      <w:ind w:left="490" w:hanging="259"/>
      <w:contextualSpacing/>
    </w:pPr>
    <w:rPr>
      <w:rFonts w:ascii="Aptos" w:hAnsi="Aptos"/>
      <w:color w:val="26383F"/>
      <w:sz w:val="2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2" Type="http://schemas.openxmlformats.org/officeDocument/2006/relationships/header" Target="header2.xml"/><Relationship Id="rId13"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1667</Words>
  <Characters>9504</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11149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High School Principal</dc:title>
  <dc:subject>Customizable school district Director of Data and Analytics job description</dc:subject>
  <dc:creator>School Data Leadership Association</dc:creator>
  <cp:keywords>Director of Data and Analytics, example job description, SDLA</cp:keywords>
  <dc:description>Reference resource; not a job posting. Review and adapt locally before adoption.</dc:description>
  <cp:lastModifiedBy>Chris Moggia</cp:lastModifiedBy>
  <cp:revision>2</cp:revision>
  <dcterms:created xsi:type="dcterms:W3CDTF">2026-08-15T21:45:00Z</dcterms:created>
  <dcterms:modified xsi:type="dcterms:W3CDTF">2026-08-15T21:45:00Z</dcterms:modified>
  <cp:category/>
</cp:coreProperties>
</file>