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Student Behavior Supports</w:t>
      </w:r>
    </w:p>
    <w:p>
      <w:pPr>
        <w:spacing w:after="240"/>
      </w:pPr>
      <w:r>
        <w:rPr>
          <w:rFonts w:ascii="Aptos" w:hAnsi="Aptos"/>
          <w:b/>
          <w:color w:val="66747A"/>
          <w:sz w:val="24"/>
        </w:rPr>
        <w:t xml:space="preserve">Supportive Practice and Reliable Behavior Evidence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Student Behavior Supports leads district behavior-support systems, staff coaching, prevention, and coordination of assigned behavioral intervention services. The district or employing agency should define the final portfolio, delegated authority, and relationships with other program owners.</w:t>
      </w:r>
    </w:p>
    <w:p>
      <w:r>
        <w:t xml:space="preserve">The position examines referral practices, exclusion, actual intervention delivery, and student experience to improve supports; preserves student rights and the authority of individualized teams and qualified practitioners.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Student Services or Special Education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 special education, school psychology, behavior analysis,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Verify any additional professional authorization and supervision for assigned assessment, behavior-analysis, or clinical services.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 special education, school psychology, behavior analysis,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school behavior support, staff development, intervention implementation, and school or program leadership;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referral patterns, time lost from instruction, support delivery and student experience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behavior support and incident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Prevention and Support Design</w:t>
      </w:r>
    </w:p>
    <w:p>
      <w:pPr>
        <w:pStyle w:val="ListBullet"/>
        <w:keepLines/>
      </w:pPr>
      <w:r>
        <w:t xml:space="preserve">Lead positive, developmentally appropriate behavior supports and staff coaching with school, MTSS, special education, and student services owners.</w:t>
      </w:r>
    </w:p>
    <w:p>
      <w:pPr>
        <w:pStyle w:val="ListBullet"/>
        <w:keepLines/>
      </w:pPr>
      <w:r>
        <w:t xml:space="preserve">Support consistent referral and response routines, de-escalation preparation, and individualized assistance within professional authorizations.</w:t>
      </w:r>
    </w:p>
    <w:p>
      <w:pPr>
        <w:pStyle w:val="ListBullet"/>
        <w:keepLines/>
      </w:pPr>
      <w:r>
        <w:t xml:space="preserve">Coordinate required assessment and planning with qualified practitioners and teams; do not substitute general behavior systems for individualized entitlements.</w:t>
      </w:r>
    </w:p>
    <w:p>
      <w:pPr>
        <w:pStyle w:val="Heading2"/>
        <w:keepNext/>
      </w:pPr>
      <w:r>
        <w:t xml:space="preserve">Behavior and Intervention Evidence</w:t>
      </w:r>
    </w:p>
    <w:p>
      <w:pPr>
        <w:pStyle w:val="ListBullet"/>
        <w:keepLines/>
      </w:pPr>
      <w:r>
        <w:t xml:space="preserve">Validate behavior definitions, incident codes, repeat events, referral sources, and denominators; distinguish recorded incidents from underlying prevalence.</w:t>
      </w:r>
    </w:p>
    <w:p>
      <w:pPr>
        <w:pStyle w:val="ListBullet"/>
        <w:keepLines/>
      </w:pPr>
      <w:r>
        <w:t xml:space="preserve">Analyze removal from instruction, referral disparities, intervention access, delivery, and progress with appropriate student context.</w:t>
      </w:r>
    </w:p>
    <w:p>
      <w:pPr>
        <w:pStyle w:val="ListBullet"/>
        <w:keepLines/>
      </w:pPr>
      <w:r>
        <w:t xml:space="preserve">Evaluate support effectiveness using implementation, student experience, recurrence, learning access, and suitable comparisons; avoid behavior quotas or automatic labels.</w:t>
      </w:r>
    </w:p>
    <w:p>
      <w:pPr>
        <w:pStyle w:val="Heading2"/>
        <w:keepNext/>
      </w:pPr>
      <w:r>
        <w:t xml:space="preserve">Rights and Responsible Practice</w:t>
      </w:r>
    </w:p>
    <w:p>
      <w:pPr>
        <w:pStyle w:val="ListBullet"/>
        <w:keepLines/>
      </w:pPr>
      <w:r>
        <w:t xml:space="preserve">Coordinate current discipline, disability, restraint or seclusion, safety, notice, and records requirements with authorized legal and program owners.</w:t>
      </w:r>
    </w:p>
    <w:p>
      <w:pPr>
        <w:pStyle w:val="ListBullet"/>
        <w:keepLines/>
      </w:pPr>
      <w:r>
        <w:t xml:space="preserve">Maintain clear escalation, incident review, documentation, and corrective-action processes; protect sensitive behavioral and health information.</w:t>
      </w:r>
    </w:p>
    <w:p>
      <w:pPr>
        <w:pStyle w:val="ListBullet"/>
        <w:keepLines/>
      </w:pPr>
      <w:r>
        <w:t xml:space="preserve">Review behavior platforms and AI risk tools for validity, differential errors, privacy, accessibility, and human decision authority.</w:t>
      </w:r>
    </w:p>
    <w:p>
      <w:pPr>
        <w:pStyle w:val="Heading2"/>
        <w:keepNext/>
      </w:pPr>
      <w:r>
        <w:t xml:space="preserve">Leadership and Improvement</w:t>
      </w:r>
    </w:p>
    <w:p>
      <w:pPr>
        <w:pStyle w:val="ListBullet"/>
        <w:keepLines/>
      </w:pPr>
      <w:r>
        <w:t xml:space="preserve">Supervise assigned staff, contracts, budgets, and learning; ensure specialized supervision and authorizations match assigned services.</w:t>
      </w:r>
    </w:p>
    <w:p>
      <w:pPr>
        <w:pStyle w:val="ListBullet"/>
        <w:keepLines/>
      </w:pPr>
      <w:r>
        <w:t xml:space="preserve">Coach teams to examine environmental conditions and instructional opportunity rather than attributing every behavior concern to a student deficit.</w:t>
      </w:r>
    </w:p>
    <w:p>
      <w:pPr>
        <w:pStyle w:val="ListBullet"/>
        <w:keepLines/>
      </w:pPr>
      <w:r>
        <w:t xml:space="preserve">Report implementation, learning access, disparities, results and limits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Schoolwide prevention, positive behavior support, de-escalation, individualized support, and practitioner scope boundaries.</w:t>
      </w:r>
    </w:p>
    <w:p>
      <w:pPr>
        <w:pStyle w:val="ListBullet"/>
        <w:keepLines/>
      </w:pPr>
      <w:r>
        <w:t xml:space="preserve">Applicable discipline, disability, safety, restraint or seclusion, reporting, due-process, and confidential-record requirements.</w:t>
      </w:r>
    </w:p>
    <w:p>
      <w:pPr>
        <w:pStyle w:val="ListBullet"/>
        <w:keepLines/>
      </w:pPr>
      <w:r>
        <w:t xml:space="preserve">Incident coding, referral bias, time lost from instruction, intervention fidelity, subgroup patterns, and evaluation limits.</w:t>
      </w:r>
    </w:p>
    <w:p>
      <w:pPr>
        <w:pStyle w:val="ListBullet"/>
        <w:keepLines/>
      </w:pPr>
      <w:r>
        <w:t xml:space="preserve">Behavior and intervention systems, secure case records, audit trails, and responsible predictive tools.</w:t>
      </w:r>
    </w:p>
    <w:p>
      <w:pPr>
        <w:pStyle w:val="Heading2"/>
        <w:keepNext/>
      </w:pPr>
      <w:r>
        <w:t>Ability to</w:t>
      </w:r>
    </w:p>
    <w:p>
      <w:pPr>
        <w:pStyle w:val="ListBullet"/>
        <w:keepLines/>
      </w:pPr>
      <w:r>
        <w:t xml:space="preserve">Translate priorities in district behavior-support systems, staff coaching, prevention, and coordination of assigned behavioral intervention services into feasible plans, clear responsibilities and measurable follow-through.</w:t>
      </w:r>
    </w:p>
    <w:p>
      <w:pPr>
        <w:pStyle w:val="ListBullet"/>
        <w:keepLines/>
      </w:pPr>
      <w:r>
        <w:t xml:space="preserve">Validate referral patterns, time lost from instruction, support delivery and student experience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Student Behavior Supports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Student Behavior Supports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