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STEAM</w:t>
      </w:r>
    </w:p>
    <w:p>
      <w:pPr>
        <w:spacing w:after="240"/>
      </w:pPr>
      <w:r>
        <w:rPr>
          <w:rFonts w:ascii="Aptos" w:hAnsi="Aptos"/>
          <w:b/>
          <w:color w:val="66747A"/>
          <w:sz w:val="24"/>
        </w:rPr>
        <w:t xml:space="preserve">Integrated Learning and Equitable Design Opportunity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STEAM leads district science, technology, engineering, arts, and mathematics integration, program development, and assigned instructional partnerships. The district or employing agency should define the final portfolio, delegated authority, and relationships with other program owners.</w:t>
      </w:r>
    </w:p>
    <w:p>
      <w:r>
        <w:t xml:space="preserve">The position connects authentic student work, access, teacher capacity, and implementation evidence to STEAM investments; builds data and scientific reasoning while evaluating products beyond novelty and participation counts.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science education, STEAM education, curriculum and instruction,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science education, STEAM education, curriculum and instruction,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STEAM instruction, integrated curriculum leadership, professional learning, and multi-school program implementation;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STEAM access, authentic learning, teacher capacity and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STEAM opportunity and implementation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Integrated Instruction and Partnerships</w:t>
      </w:r>
    </w:p>
    <w:p>
      <w:pPr>
        <w:pStyle w:val="ListBullet"/>
        <w:keepLines/>
      </w:pPr>
      <w:r>
        <w:t xml:space="preserve">Lead coherent STEAM learning that connects disciplinary knowledge, design, scientific inquiry, artistic practice, and authentic problems.</w:t>
      </w:r>
    </w:p>
    <w:p>
      <w:pPr>
        <w:pStyle w:val="ListBullet"/>
        <w:keepLines/>
      </w:pPr>
      <w:r>
        <w:t xml:space="preserve">Coordinate curriculum and subject leaders, teachers, partners, and schools without replacing discipline-specific expertise or required instruction.</w:t>
      </w:r>
    </w:p>
    <w:p>
      <w:pPr>
        <w:pStyle w:val="ListBullet"/>
        <w:keepLines/>
      </w:pPr>
      <w:r>
        <w:t xml:space="preserve">Build accessible projects and pathways with appropriate safety, teacher preparation, materials, and opportunities for student choice.</w:t>
      </w:r>
    </w:p>
    <w:p>
      <w:pPr>
        <w:pStyle w:val="Heading2"/>
        <w:keepNext/>
      </w:pPr>
      <w:r>
        <w:t xml:space="preserve">Learning and Opportunity Evidence</w:t>
      </w:r>
    </w:p>
    <w:p>
      <w:pPr>
        <w:pStyle w:val="ListBullet"/>
        <w:keepLines/>
      </w:pPr>
      <w:r>
        <w:t xml:space="preserve">Analyze access to courses, projects, equipment, partners, and advanced opportunities across schools and student groups.</w:t>
      </w:r>
    </w:p>
    <w:p>
      <w:pPr>
        <w:pStyle w:val="ListBullet"/>
        <w:keepLines/>
      </w:pPr>
      <w:r>
        <w:t xml:space="preserve">Evaluate learning through valid rubrics, student products, reasoning, collaboration, and classroom evidence; distinguish engagement from demonstrated understanding.</w:t>
      </w:r>
    </w:p>
    <w:p>
      <w:pPr>
        <w:pStyle w:val="ListBullet"/>
        <w:keepLines/>
      </w:pPr>
      <w:r>
        <w:t xml:space="preserve">Use participation, implementation, teacher capacity, and suitable outcome comparisons to refine programs and test expansion assumptions.</w:t>
      </w:r>
    </w:p>
    <w:p>
      <w:pPr>
        <w:pStyle w:val="Heading2"/>
        <w:keepNext/>
      </w:pPr>
      <w:r>
        <w:t xml:space="preserve">Technology and Responsible Design</w:t>
      </w:r>
    </w:p>
    <w:p>
      <w:pPr>
        <w:pStyle w:val="ListBullet"/>
        <w:keepLines/>
      </w:pPr>
      <w:r>
        <w:t xml:space="preserve">Review instructional products for standards alignment, scientific accuracy, accessibility, privacy, safety, interoperability, and sustainable cost.</w:t>
      </w:r>
    </w:p>
    <w:p>
      <w:pPr>
        <w:pStyle w:val="ListBullet"/>
        <w:keepLines/>
      </w:pPr>
      <w:r>
        <w:t xml:space="preserve">Coordinate applicable instructional, procurement, student-record, and safety requirements with responsible district owners.</w:t>
      </w:r>
    </w:p>
    <w:p>
      <w:pPr>
        <w:pStyle w:val="ListBullet"/>
        <w:keepLines/>
      </w:pPr>
      <w:r>
        <w:t xml:space="preserve">Develop responsible student and staff use of data science and AI, including source quality, bias, attribution, reproducibility where appropriate, and human review.</w:t>
      </w:r>
    </w:p>
    <w:p>
      <w:pPr>
        <w:pStyle w:val="Heading2"/>
        <w:keepNext/>
      </w:pPr>
      <w:r>
        <w:t xml:space="preserve">Leadership and Sustainability</w:t>
      </w:r>
    </w:p>
    <w:p>
      <w:pPr>
        <w:pStyle w:val="ListBullet"/>
        <w:keepLines/>
      </w:pPr>
      <w:r>
        <w:t xml:space="preserve">Supervise assigned personnel, budgets, grants, equipment, and professional learning with transparent resource priorities.</w:t>
      </w:r>
    </w:p>
    <w:p>
      <w:pPr>
        <w:pStyle w:val="ListBullet"/>
        <w:keepLines/>
      </w:pPr>
      <w:r>
        <w:t xml:space="preserve">Plan ongoing maintenance, consumables, teacher learning, partner capacity, and equitable school access before program expansion.</w:t>
      </w:r>
    </w:p>
    <w:p>
      <w:pPr>
        <w:pStyle w:val="ListBullet"/>
        <w:keepLines/>
      </w:pPr>
      <w:r>
        <w:t xml:space="preserve">Report access, implementation, student learning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Integrated STEAM curriculum, disciplinary rigor, inquiry and design, arts integration, and instructional coaching.</w:t>
      </w:r>
    </w:p>
    <w:p>
      <w:pPr>
        <w:pStyle w:val="ListBullet"/>
        <w:keepLines/>
      </w:pPr>
      <w:r>
        <w:t xml:space="preserve">Authentic assessment, rubric quality, participation and resource equity, implementation evidence, and evaluation limits.</w:t>
      </w:r>
    </w:p>
    <w:p>
      <w:pPr>
        <w:pStyle w:val="ListBullet"/>
        <w:keepLines/>
      </w:pPr>
      <w:r>
        <w:t xml:space="preserve">Applicable instructional, laboratory or maker-space safety, accessibility, privacy, procurement, and partnership requirements.</w:t>
      </w:r>
    </w:p>
    <w:p>
      <w:pPr>
        <w:pStyle w:val="ListBullet"/>
        <w:keepLines/>
      </w:pPr>
      <w:r>
        <w:t xml:space="preserve">Learning and design platforms, data-science concepts, secure project evidence, and responsible educational AI.</w:t>
      </w:r>
    </w:p>
    <w:p>
      <w:pPr>
        <w:pStyle w:val="Heading2"/>
        <w:keepNext/>
      </w:pPr>
      <w:r>
        <w:t>Ability to</w:t>
      </w:r>
    </w:p>
    <w:p>
      <w:pPr>
        <w:pStyle w:val="ListBullet"/>
        <w:keepLines/>
      </w:pPr>
      <w:r>
        <w:t xml:space="preserve">Translate priorities in district science, technology, engineering, arts, and mathematics integration, program development, and assigned instructional partnerships into feasible plans, clear responsibilities and measurable follow-through.</w:t>
      </w:r>
    </w:p>
    <w:p>
      <w:pPr>
        <w:pStyle w:val="ListBullet"/>
        <w:keepLines/>
      </w:pPr>
      <w:r>
        <w:t xml:space="preserve">Validate STEAM access, authentic learning, teacher capacity and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STEAM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STEAM</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