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Professional Learning and Leadership Development</w:t>
      </w:r>
    </w:p>
    <w:p>
      <w:pPr>
        <w:spacing w:after="240"/>
      </w:pPr>
      <w:r>
        <w:rPr>
          <w:rFonts w:ascii="Aptos" w:hAnsi="Aptos"/>
          <w:b/>
          <w:color w:val="66747A"/>
          <w:sz w:val="24"/>
        </w:rPr>
        <w:t xml:space="preserve">Staff Learning That Changes Practice</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Professional Learning and Leadership Development leads district professional learning strategy, leadership development, coaching systems, and assigned induction or educator-development partnerships. The district or employing agency should define the final portfolio, delegated authority, and relationships with other program owners.</w:t>
      </w:r>
    </w:p>
    <w:p>
      <w:r>
        <w:t xml:space="preserve">The position builds staff capacity for practical analysis and responsible technology use; evaluates changes in practice and student opportunity instead of treating attendance or satisfaction as proof of impact.</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Human Resources,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adult learning, education,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educational leadership, adult learning, education,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teaching and leadership with adult learning, coaching, and cross-school professional learning design;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professional learning access, transfer to practice and implementation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professional learning and coaching platform,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Professional Learning and Leadership</w:t>
      </w:r>
    </w:p>
    <w:p>
      <w:pPr>
        <w:pStyle w:val="ListBullet"/>
        <w:keepLines/>
      </w:pPr>
      <w:r>
        <w:t xml:space="preserve">Lead coherent professional learning aligned to instructional needs, leadership standards, district priorities and staff experience.</w:t>
      </w:r>
    </w:p>
    <w:p>
      <w:pPr>
        <w:pStyle w:val="ListBullet"/>
        <w:keepLines/>
      </w:pPr>
      <w:r>
        <w:t xml:space="preserve">Design sustained coaching, collaborative inquiry and leadership pathways with principals, curriculum teams, HR and employee representatives.</w:t>
      </w:r>
    </w:p>
    <w:p>
      <w:pPr>
        <w:pStyle w:val="ListBullet"/>
        <w:keepLines/>
      </w:pPr>
      <w:r>
        <w:t xml:space="preserve">Coordinate assigned induction partnerships and program responsibilities; distinguish district training from credential-provider or HR authority.</w:t>
      </w:r>
    </w:p>
    <w:p>
      <w:pPr>
        <w:pStyle w:val="Heading2"/>
        <w:keepNext/>
      </w:pPr>
      <w:r>
        <w:t xml:space="preserve">Needs Analysis and Evaluation</w:t>
      </w:r>
    </w:p>
    <w:p>
      <w:pPr>
        <w:pStyle w:val="ListBullet"/>
        <w:keepLines/>
      </w:pPr>
      <w:r>
        <w:t xml:space="preserve">Use observations, staff learning needs, implementation evidence and student opportunity data to define professional learning priorities.</w:t>
      </w:r>
    </w:p>
    <w:p>
      <w:pPr>
        <w:pStyle w:val="ListBullet"/>
        <w:keepLines/>
      </w:pPr>
      <w:r>
        <w:t xml:space="preserve">Specify intended changes, baselines, follow-up measures and review dates; evaluate transfer to practice using multiple measures and appropriate comparisons.</w:t>
      </w:r>
    </w:p>
    <w:p>
      <w:pPr>
        <w:pStyle w:val="ListBullet"/>
        <w:keepLines/>
      </w:pPr>
      <w:r>
        <w:t xml:space="preserve">Analyze equitable access to learning, coaching and leadership opportunities, including participation barriers, staff workload and school support conditions.</w:t>
      </w:r>
    </w:p>
    <w:p>
      <w:pPr>
        <w:pStyle w:val="Heading2"/>
        <w:keepNext/>
      </w:pPr>
      <w:r>
        <w:t xml:space="preserve">Data Literacy and Responsible Technology</w:t>
      </w:r>
    </w:p>
    <w:p>
      <w:pPr>
        <w:pStyle w:val="ListBullet"/>
        <w:keepLines/>
      </w:pPr>
      <w:r>
        <w:t xml:space="preserve">Develop staff learning in data quality, denominators, subgroup interpretation, visualization, uncertainty and responsible use of evidence.</w:t>
      </w:r>
    </w:p>
    <w:p>
      <w:pPr>
        <w:pStyle w:val="ListBullet"/>
        <w:keepLines/>
      </w:pPr>
      <w:r>
        <w:t xml:space="preserve">Evaluate learning-management, coaching and AI tools for instructional value, accessibility, privacy and human oversight; protect confidential personnel and student records.</w:t>
      </w:r>
    </w:p>
    <w:p>
      <w:pPr>
        <w:pStyle w:val="ListBullet"/>
        <w:keepLines/>
      </w:pPr>
      <w:r>
        <w:t xml:space="preserve">Separate coaching information from formal evaluation as required by local policy and agreements; verify consent, access, retention and approved research uses.</w:t>
      </w:r>
    </w:p>
    <w:p>
      <w:pPr>
        <w:pStyle w:val="Heading2"/>
        <w:keepNext/>
      </w:pPr>
      <w:r>
        <w:t xml:space="preserve">Resources and Improvement</w:t>
      </w:r>
    </w:p>
    <w:p>
      <w:pPr>
        <w:pStyle w:val="ListBullet"/>
        <w:keepLines/>
      </w:pPr>
      <w:r>
        <w:t xml:space="preserve">Manage assigned personnel, budgets, consultants and calendars; assess cost, capacity and sustainability beyond session counts.</w:t>
      </w:r>
    </w:p>
    <w:p>
      <w:pPr>
        <w:pStyle w:val="ListBullet"/>
        <w:keepLines/>
      </w:pPr>
      <w:r>
        <w:t xml:space="preserve">Build facilitator and mentor capacity through observation, feedback and evidence of implementation; revise ineffective offerings.</w:t>
      </w:r>
    </w:p>
    <w:p>
      <w:pPr>
        <w:pStyle w:val="ListBullet"/>
        <w:keepLines/>
      </w:pPr>
      <w:r>
        <w:t xml:space="preserve">Communicate findings and limitations to authorized stakeholders, track improvement commitments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Adult learning, coaching, facilitation, leadership development, implementation science and collaborative inquiry.</w:t>
      </w:r>
    </w:p>
    <w:p>
      <w:pPr>
        <w:pStyle w:val="ListBullet"/>
        <w:keepLines/>
      </w:pPr>
      <w:r>
        <w:t xml:space="preserve">Needs assessment, learning transfer, observation quality, survey bias, comparison designs and evaluation limits.</w:t>
      </w:r>
    </w:p>
    <w:p>
      <w:pPr>
        <w:pStyle w:val="ListBullet"/>
        <w:keepLines/>
      </w:pPr>
      <w:r>
        <w:t xml:space="preserve">Applicable personnel confidentiality, evaluation procedures, agreements, accessibility and credential-program boundaries.</w:t>
      </w:r>
    </w:p>
    <w:p>
      <w:pPr>
        <w:pStyle w:val="ListBullet"/>
        <w:keepLines/>
      </w:pPr>
      <w:r>
        <w:t xml:space="preserve">Professional learning and coaching platforms, practical analytics, secure records and responsible AI learning design.</w:t>
      </w:r>
    </w:p>
    <w:p>
      <w:pPr>
        <w:pStyle w:val="Heading2"/>
        <w:keepNext/>
      </w:pPr>
      <w:r>
        <w:t>Ability to</w:t>
      </w:r>
    </w:p>
    <w:p>
      <w:pPr>
        <w:pStyle w:val="ListBullet"/>
        <w:keepLines/>
      </w:pPr>
      <w:r>
        <w:t xml:space="preserve">Translate priorities in district professional learning strategy, leadership development, coaching systems, and assigned induction or educator-development partnerships into feasible plans, clear responsibilities and measurable follow-through.</w:t>
      </w:r>
    </w:p>
    <w:p>
      <w:pPr>
        <w:pStyle w:val="ListBullet"/>
        <w:keepLines/>
      </w:pPr>
      <w:r>
        <w:t xml:space="preserve">Validate professional learning access, transfer to practice and implementation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Professional Learning and Leadership Development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Professional Learning and Leadership Development</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