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pPr>
        <w:spacing w:after="80"/>
      </w:pPr>
      <w:r>
        <w:rPr>
          <w:rFonts w:ascii="Aptos" w:hAnsi="Aptos"/>
          <w:b/>
          <w:color w:val="315F74"/>
          <w:sz w:val="20"/>
        </w:rPr>
        <w:t>EXAMPLE JOB DESCRIPTION</w:t>
      </w:r>
    </w:p>
    <w:p>
      <w:pPr>
        <w:pStyle w:val="Title"/>
        <w:spacing w:after="100"/>
      </w:pPr>
      <w:r>
        <w:rPr>
          <w:rFonts w:ascii="Aptos" w:hAnsi="Aptos"/>
          <w:b/>
          <w:color w:val="315F74"/>
          <w:sz w:val="52"/>
        </w:rPr>
        <w:t xml:space="preserve">Director of Multilingual Education</w:t>
      </w:r>
    </w:p>
    <w:p>
      <w:pPr>
        <w:spacing w:after="240"/>
      </w:pPr>
      <w:r>
        <w:rPr>
          <w:rFonts w:ascii="Aptos" w:hAnsi="Aptos"/>
          <w:b/>
          <w:color w:val="66747A"/>
          <w:sz w:val="24"/>
        </w:rPr>
        <w:t xml:space="preserve">Language Access and Evidence Informed Instruction</w:t>
      </w:r>
    </w:p>
    <w:p>
      <w:pPr>
        <w:keepLines/>
        <w:spacing w:before="120" w:after="160"/>
        <w:ind w:left="230" w:right="115"/>
        <w:pBdr>
          <w:left w:val="single" w:sz="18" w:space="8" w:color="FDAB42"/>
        </w:pBdr>
        <w:shd w:fill="EAF3F7"/>
      </w:pPr>
      <w:r>
        <w:rPr>
          <w:rFonts w:ascii="Aptos" w:hAnsi="Aptos"/>
          <w:b/>
          <w:color w:val="315F74"/>
          <w:sz w:val="19"/>
        </w:rPr>
        <w:t xml:space="preserve">REFERENCE RESOURCE - NOT A JOB POSTING. </w:t>
      </w:r>
      <w:r>
        <w:rPr>
          <w:rFonts w:ascii="Aptos" w:hAnsi="Aptos"/>
          <w:color w:val="66747A"/>
          <w:sz w:val="19"/>
        </w:rPr>
        <w:t>This example does not represent an open position with the School Data Leadership Association.</w:t>
      </w:r>
    </w:p>
    <w:p>
      <w:pPr>
        <w:pStyle w:val="Heading1"/>
        <w:keepNext/>
        <w:pBdr>
          <w:left w:val="single" w:sz="18" w:space="8" w:color="FDAB42"/>
        </w:pBdr>
      </w:pPr>
      <w:r>
        <w:t>Position Information</w:t>
      </w:r>
    </w:p>
    <w:tbl>
      <w:tblPr>
        <w:tblStyle w:val="TableGrid"/>
        <w:tblW w:type="dxa" w:w="9360"/>
        <w:jc w:val="left"/>
        <w:tblLayout w:type="fixed"/>
        <w:tblLook w:firstColumn="1" w:firstRow="1" w:lastColumn="0" w:lastRow="0" w:noHBand="0" w:noVBand="1" w:val="04A0"/>
        <w:tblInd w:w="0" w:type="dxa"/>
      </w:tblPr>
      <w:tblGrid>
        <w:gridCol w:w="2520"/>
        <w:gridCol w:w="6840"/>
      </w:tblGrid>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Department / Division</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district-specific department or division</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Classification</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 xml:space="preserve">Certificated Management (illustrative; local review required)</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Employment Status</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Full-time; insert district-determined exempt or nonexempt status</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Work Year</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annual workdays or work-calendar information</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Salary Range</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salary schedule and range</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Bargaining Unit</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bargaining-unit or unrepresented-management designation</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Primary Location</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district-specific primary location</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Position Number</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district position or classification number</w:t>
            </w:r>
          </w:p>
        </w:tc>
      </w:tr>
    </w:tbl>
    <w:p>
      <w:pPr>
        <w:pStyle w:val="Heading1"/>
        <w:keepNext/>
        <w:pBdr>
          <w:left w:val="single" w:sz="18" w:space="8" w:color="FDAB42"/>
        </w:pBdr>
      </w:pPr>
      <w:r>
        <w:t>Position Description</w:t>
      </w:r>
    </w:p>
    <w:p>
      <w:r>
        <w:t xml:space="preserve">The Director of Multilingual Education leads language-development services, multilingual program design, staff learning, and equitable access to instruction. The district or employing agency should define the final portfolio, delegated authority, and relationships with other program owners.</w:t>
      </w:r>
    </w:p>
    <w:p>
      <w:r>
        <w:t xml:space="preserve">The position connects language proficiency, course access, instructional evidence, and student experience to program decisions; maintains accurate identification, reclassification, monitoring, and compliance records.</w:t>
      </w:r>
    </w:p>
    <w:p>
      <w:pPr>
        <w:pStyle w:val="Heading1"/>
        <w:keepNext/>
        <w:pBdr>
          <w:left w:val="single" w:sz="18" w:space="8" w:color="FDAB42"/>
        </w:pBdr>
      </w:pPr>
      <w:r>
        <w:t>Reports To</w:t>
      </w:r>
    </w:p>
    <w:p>
      <w:r>
        <w:rPr>
          <w:rFonts w:ascii="Aptos" w:hAnsi="Aptos"/>
          <w:i/>
          <w:color w:val="66747A"/>
        </w:rPr>
        <w:t xml:space="preserve">Illustrative reporting relationship: Assistant Superintendent of Educational Services or other designated administrator. Confirm the locally approved structure and delegated authority.</w:t>
      </w:r>
    </w:p>
    <w:p>
      <w:pPr>
        <w:pStyle w:val="Heading1"/>
        <w:keepNext/>
        <w:pBdr>
          <w:left w:val="single" w:sz="18" w:space="8" w:color="FDAB42"/>
        </w:pBdr>
      </w:pPr>
      <w:r>
        <w:t>Required Education and Credentials</w:t>
      </w:r>
    </w:p>
    <w:p>
      <w:pPr>
        <w:pStyle w:val="Heading2"/>
        <w:keepNext/>
      </w:pPr>
      <w:r>
        <w:t>Required</w:t>
      </w:r>
    </w:p>
    <w:p>
      <w:pPr>
        <w:pStyle w:val="ListBullet"/>
        <w:keepLines/>
      </w:pPr>
      <w:r>
        <w:t xml:space="preserve">Illustrative district qualification for review: master's degree in multilingual education, language development, or educational leadership; confirm the local degree requirement and permitted equivalents.</w:t>
      </w:r>
    </w:p>
    <w:p>
      <w:pPr>
        <w:pStyle w:val="ListBullet"/>
        <w:keepLines/>
      </w:pPr>
      <w:r>
        <w:t xml:space="preserve">Hold a valid California Administrative Services Credential or other authorization appropriate to the actual assignment. District HR must verify current authorization and any additional credential requirements against the final duties.</w:t>
      </w:r>
    </w:p>
    <w:p>
      <w:pPr>
        <w:pStyle w:val="ListBullet"/>
        <w:keepLines/>
      </w:pPr>
      <w:r>
        <w:t xml:space="preserve">Complete district-required employment clearances and training in student privacy, nondiscrimination, accessibility, records, safety, and responsible use of technology.</w:t>
      </w:r>
    </w:p>
    <w:p>
      <w:pPr>
        <w:pStyle w:val="Heading2"/>
        <w:keepNext/>
      </w:pPr>
      <w:r>
        <w:t>Preferred</w:t>
      </w:r>
    </w:p>
    <w:p>
      <w:pPr>
        <w:pStyle w:val="ListBullet"/>
        <w:keepLines/>
      </w:pPr>
      <w:r>
        <w:t xml:space="preserve">Graduate coursework or sustained professional learning in applied statistics, program evaluation, improvement science, education data systems, or responsible AI for educational decision-making.</w:t>
      </w:r>
    </w:p>
    <w:p>
      <w:pPr>
        <w:pStyle w:val="ListBullet"/>
        <w:keepLines/>
      </w:pPr>
      <w:r>
        <w:t xml:space="preserve">Advanced preparation in multilingual education, language development, or educational leadership, inclusive leadership, family partnership, and coaching adults to use evidence effectively.</w:t>
      </w:r>
    </w:p>
    <w:p>
      <w:pPr>
        <w:pStyle w:val="Heading1"/>
        <w:keepNext/>
        <w:pBdr>
          <w:left w:val="single" w:sz="18" w:space="8" w:color="FDAB42"/>
        </w:pBdr>
      </w:pPr>
      <w:r>
        <w:t>Required / Desired Experience</w:t>
      </w:r>
    </w:p>
    <w:p>
      <w:pPr>
        <w:pStyle w:val="Heading2"/>
        <w:keepNext/>
      </w:pPr>
      <w:r>
        <w:t>Required Experience</w:t>
      </w:r>
    </w:p>
    <w:p>
      <w:pPr>
        <w:pStyle w:val="ListBullet"/>
        <w:keepLines/>
      </w:pPr>
      <w:r>
        <w:t xml:space="preserve">Illustrative minimum for local review: five years of successful teaching and multilingual-program leadership, including language-development instruction and family partnership; confirm experience thresholds and permitted equivalents.</w:t>
      </w:r>
    </w:p>
    <w:p>
      <w:pPr>
        <w:pStyle w:val="ListBullet"/>
        <w:keepLines/>
      </w:pPr>
      <w:r>
        <w:t xml:space="preserve">Experience supervising assigned staff, coordinating partners, managing resources, and implementing improvement across the assigned portfolio.</w:t>
      </w:r>
    </w:p>
    <w:p>
      <w:pPr>
        <w:pStyle w:val="ListBullet"/>
        <w:keepLines/>
      </w:pPr>
      <w:r>
        <w:t xml:space="preserve">Demonstrated use of language proficiency, reclassification and post-reclassification progress to investigate needs, verify records, evaluate action, and explain findings and limitations.</w:t>
      </w:r>
    </w:p>
    <w:p>
      <w:pPr>
        <w:pStyle w:val="Heading2"/>
        <w:keepNext/>
      </w:pPr>
      <w:r>
        <w:t>Desired Experience</w:t>
      </w:r>
    </w:p>
    <w:p>
      <w:pPr>
        <w:pStyle w:val="ListBullet"/>
        <w:keepLines/>
      </w:pPr>
      <w:r>
        <w:t xml:space="preserve">Experience with California district or regional program requirements, implementation monitoring, and improvement with diverse communities.</w:t>
      </w:r>
    </w:p>
    <w:p>
      <w:pPr>
        <w:pStyle w:val="ListBullet"/>
        <w:keepLines/>
      </w:pPr>
      <w:r>
        <w:t xml:space="preserve">Experience with a language-program dashboard, approved spreadsheets and tools such as Excel, Google Sheets, Power BI, Tableau, or equivalents; applied data-science literacy sufficient to collaborate with analysts.</w:t>
      </w:r>
    </w:p>
    <w:p>
      <w:pPr>
        <w:pStyle w:val="Heading1"/>
        <w:keepNext/>
        <w:pBdr>
          <w:left w:val="single" w:sz="18" w:space="8" w:color="FDAB42"/>
        </w:pBdr>
      </w:pPr>
      <w:r>
        <w:t>Essential Duties and Responsibilities</w:t>
      </w:r>
    </w:p>
    <w:p>
      <w:pPr>
        <w:pStyle w:val="Heading2"/>
        <w:keepNext/>
      </w:pPr>
      <w:r>
        <w:t xml:space="preserve">Language Development and Program Leadership</w:t>
      </w:r>
    </w:p>
    <w:p>
      <w:pPr>
        <w:pStyle w:val="ListBullet"/>
        <w:keepLines/>
      </w:pPr>
      <w:r>
        <w:t xml:space="preserve">Lead integrated and designated language-development planning with curriculum, school, and special education leaders; support access to rigorous grade-level instruction.</w:t>
      </w:r>
    </w:p>
    <w:p>
      <w:pPr>
        <w:pStyle w:val="ListBullet"/>
        <w:keepLines/>
      </w:pPr>
      <w:r>
        <w:t xml:space="preserve">Coordinate multilingual pathways, instructional materials, professional learning, and language access for families; include community knowledge in program design.</w:t>
      </w:r>
    </w:p>
    <w:p>
      <w:pPr>
        <w:pStyle w:val="ListBullet"/>
        <w:keepLines/>
      </w:pPr>
      <w:r>
        <w:t xml:space="preserve">Review staffing and teacher authorizations with HR and strengthen instruction through observation, coaching, and classroom evidence.</w:t>
      </w:r>
    </w:p>
    <w:p>
      <w:pPr>
        <w:pStyle w:val="Heading2"/>
        <w:keepNext/>
      </w:pPr>
      <w:r>
        <w:t xml:space="preserve">Language Data and Student Opportunity</w:t>
      </w:r>
    </w:p>
    <w:p>
      <w:pPr>
        <w:pStyle w:val="ListBullet"/>
        <w:keepLines/>
      </w:pPr>
      <w:r>
        <w:t xml:space="preserve">Validate identification, assessment participation, language status, program participation, and reclassification records with assessment and SIS/CALPADS owners.</w:t>
      </w:r>
    </w:p>
    <w:p>
      <w:pPr>
        <w:pStyle w:val="ListBullet"/>
        <w:keepLines/>
      </w:pPr>
      <w:r>
        <w:t xml:space="preserve">Analyze language-development trajectories, long-term learner patterns, course access, and outcomes using appropriate cohorts, missingness checks, and student context.</w:t>
      </w:r>
    </w:p>
    <w:p>
      <w:pPr>
        <w:pStyle w:val="ListBullet"/>
        <w:keepLines/>
      </w:pPr>
      <w:r>
        <w:t xml:space="preserve">Monitor students after reclassification under current requirements; identify needed supports without using language status as a substitute for individual review.</w:t>
      </w:r>
    </w:p>
    <w:p>
      <w:pPr>
        <w:pStyle w:val="Heading2"/>
        <w:keepNext/>
      </w:pPr>
      <w:r>
        <w:t xml:space="preserve">Compliance and Responsible Systems</w:t>
      </w:r>
    </w:p>
    <w:p>
      <w:pPr>
        <w:pStyle w:val="ListBullet"/>
        <w:keepLines/>
      </w:pPr>
      <w:r>
        <w:t xml:space="preserve">Maintain current reclassification procedures, notices, advisory processes, and program evidence; verify legal changes and effective dates before implementation.</w:t>
      </w:r>
    </w:p>
    <w:p>
      <w:pPr>
        <w:pStyle w:val="ListBullet"/>
        <w:keepLines/>
      </w:pPr>
      <w:r>
        <w:t xml:space="preserve">Coordinate with IEP teams for dually identified students while preserving separate language-development and disability determinations.</w:t>
      </w:r>
    </w:p>
    <w:p>
      <w:pPr>
        <w:pStyle w:val="ListBullet"/>
        <w:keepLines/>
      </w:pPr>
      <w:r>
        <w:t xml:space="preserve">Review language-learning and AI translation products for instructional quality, privacy, accessibility, linguistic accuracy, and human verification of consequential communications.</w:t>
      </w:r>
    </w:p>
    <w:p>
      <w:pPr>
        <w:pStyle w:val="Heading2"/>
        <w:keepNext/>
      </w:pPr>
      <w:r>
        <w:t xml:space="preserve">Resources and Improvement</w:t>
      </w:r>
    </w:p>
    <w:p>
      <w:pPr>
        <w:pStyle w:val="ListBullet"/>
        <w:keepLines/>
      </w:pPr>
      <w:r>
        <w:t xml:space="preserve">Administer assigned personnel, budgets, grants, and monitoring responses; connect spending to service delivery and documented student needs.</w:t>
      </w:r>
    </w:p>
    <w:p>
      <w:pPr>
        <w:pStyle w:val="ListBullet"/>
        <w:keepLines/>
      </w:pPr>
      <w:r>
        <w:t xml:space="preserve">Coach staff in language-data interpretation, small-group privacy, and evaluation of multilingual program implementation and outcomes.</w:t>
      </w:r>
    </w:p>
    <w:p>
      <w:pPr>
        <w:pStyle w:val="ListBullet"/>
        <w:keepLines/>
      </w:pPr>
      <w:r>
        <w:t xml:space="preserve">Report findings and limitations to authorized leaders and families, track corrective actions, and perform related duties within the classification.</w:t>
      </w:r>
    </w:p>
    <w:p>
      <w:pPr>
        <w:pStyle w:val="Heading1"/>
        <w:keepNext/>
        <w:pBdr>
          <w:left w:val="single" w:sz="18" w:space="8" w:color="FDAB42"/>
        </w:pBdr>
      </w:pPr>
      <w:r>
        <w:t>Required Skills and Abilities</w:t>
      </w:r>
    </w:p>
    <w:p>
      <w:pPr>
        <w:pStyle w:val="Heading2"/>
        <w:keepNext/>
      </w:pPr>
      <w:r>
        <w:t>Knowledge of</w:t>
      </w:r>
    </w:p>
    <w:p>
      <w:pPr>
        <w:pStyle w:val="ListBullet"/>
        <w:keepLines/>
      </w:pPr>
      <w:r>
        <w:t xml:space="preserve">Language acquisition, multilingual pedagogy, integrated and designated language development, and culturally responsive family partnership.</w:t>
      </w:r>
    </w:p>
    <w:p>
      <w:pPr>
        <w:pStyle w:val="ListBullet"/>
        <w:keepLines/>
      </w:pPr>
      <w:r>
        <w:t xml:space="preserve">Current English learner identification, assessment, reclassification, monitoring, advisory, and language-access requirements within the assignment.</w:t>
      </w:r>
    </w:p>
    <w:p>
      <w:pPr>
        <w:pStyle w:val="ListBullet"/>
        <w:keepLines/>
      </w:pPr>
      <w:r>
        <w:t xml:space="preserve">Longitudinal language data, changing student-group membership, assessment comparability, subgroup access, and program evaluation.</w:t>
      </w:r>
    </w:p>
    <w:p>
      <w:pPr>
        <w:pStyle w:val="ListBullet"/>
        <w:keepLines/>
      </w:pPr>
      <w:r>
        <w:t xml:space="preserve">Language-program systems, SIS/CALPADS workflows, approved dashboards, and limitations of automated translation and AI.</w:t>
      </w:r>
    </w:p>
    <w:p>
      <w:pPr>
        <w:pStyle w:val="Heading2"/>
        <w:keepNext/>
      </w:pPr>
      <w:r>
        <w:t>Ability to</w:t>
      </w:r>
    </w:p>
    <w:p>
      <w:pPr>
        <w:pStyle w:val="ListBullet"/>
        <w:keepLines/>
      </w:pPr>
      <w:r>
        <w:t xml:space="preserve">Translate priorities in language-development services, multilingual program design, staff learning, and equitable access to instruction into feasible plans, clear responsibilities and measurable follow-through.</w:t>
      </w:r>
    </w:p>
    <w:p>
      <w:pPr>
        <w:pStyle w:val="ListBullet"/>
        <w:keepLines/>
      </w:pPr>
      <w:r>
        <w:t xml:space="preserve">Validate language proficiency, reclassification and post-reclassification progress using accurate sources, definitions, populations and denominators before making decisions.</w:t>
      </w:r>
    </w:p>
    <w:p>
      <w:pPr>
        <w:pStyle w:val="ListBullet"/>
        <w:keepLines/>
      </w:pPr>
      <w:r>
        <w:t xml:space="preserve">Evaluate implementation and outcomes, examine subgroup opportunity, and distinguish association from causation with qualified analytical support.</w:t>
      </w:r>
    </w:p>
    <w:p>
      <w:pPr>
        <w:pStyle w:val="ListBullet"/>
        <w:keepLines/>
      </w:pPr>
      <w:r>
        <w:t xml:space="preserve">Use approved modern systems and accessible visualizations; partner with data specialists on complex linkage, statistical methods or reproducible analysis.</w:t>
      </w:r>
    </w:p>
    <w:p>
      <w:pPr>
        <w:pStyle w:val="ListBullet"/>
        <w:keepLines/>
      </w:pPr>
      <w:r>
        <w:t xml:space="preserve">Protect confidential information, document consequential decisions, maintain professional judgment and escalate unresolved legal or policy questions.</w:t>
      </w:r>
    </w:p>
    <w:p>
      <w:pPr>
        <w:pStyle w:val="ListBullet"/>
        <w:keepLines/>
      </w:pPr>
      <w:r>
        <w:t xml:space="preserve">Lead staff and partnerships, communicate evidence and uncertainty clearly, and revise ineffective practices with affected communities.</w:t>
      </w:r>
    </w:p>
    <w:p>
      <w:pPr>
        <w:pStyle w:val="Heading1"/>
        <w:keepNext/>
        <w:pBdr>
          <w:left w:val="single" w:sz="18" w:space="8" w:color="FDAB42"/>
        </w:pBdr>
      </w:pPr>
      <w:r>
        <w:t>Work Environment</w:t>
      </w:r>
    </w:p>
    <w:p>
      <w:pPr>
        <w:pStyle w:val="ListBullet"/>
        <w:keepLines/>
      </w:pPr>
      <w:r>
        <w:t xml:space="preserve">Work is performed in district offices, classrooms, school grounds, meeting rooms, and other professional settings, with remote participation as authorized.</w:t>
      </w:r>
    </w:p>
    <w:p>
      <w:pPr>
        <w:pStyle w:val="ListBullet"/>
        <w:keepLines/>
      </w:pPr>
      <w:r>
        <w:t xml:space="preserve">The position involves computer use, school visits, observation, facilitation, and detailed review of records, dashboards, assessments, reports, and communications.</w:t>
      </w:r>
    </w:p>
    <w:p>
      <w:pPr>
        <w:pStyle w:val="ListBullet"/>
        <w:keepLines/>
      </w:pPr>
      <w:r>
        <w:t xml:space="preserve">Work requires frequent coordination with school and district leaders, program specialists, students and families as appropriate, data and technology teams, fiscal and legal owners, and external partners.</w:t>
      </w:r>
    </w:p>
    <w:p>
      <w:pPr>
        <w:pStyle w:val="ListBullet"/>
        <w:keepLines/>
      </w:pPr>
      <w:r>
        <w:t xml:space="preserve">The employee encounters interruptions, competing priorities, sensitive student and personnel matters, and urgent concerns requiring calm, documented judgment.</w:t>
      </w:r>
    </w:p>
    <w:p>
      <w:pPr>
        <w:pStyle w:val="ListBullet"/>
        <w:keepLines/>
      </w:pPr>
      <w:r>
        <w:t xml:space="preserve">Workload may increase during planning and budget cycles, program transitions, monitoring and reporting reviews, public meetings, and urgent service concerns.</w:t>
      </w:r>
    </w:p>
    <w:p>
      <w:pPr>
        <w:pStyle w:val="Heading1"/>
        <w:keepNext/>
        <w:pBdr>
          <w:left w:val="single" w:sz="18" w:space="8" w:color="FDAB42"/>
        </w:pBdr>
      </w:pPr>
      <w:r>
        <w:t>Other Requirements</w:t>
      </w:r>
    </w:p>
    <w:p>
      <w:pPr>
        <w:pStyle w:val="ListBullet"/>
        <w:keepLines/>
      </w:pPr>
      <w:r>
        <w:t xml:space="preserve">Successfully complete required criminal-record, fingerprint, and employment clearances.</w:t>
      </w:r>
    </w:p>
    <w:p>
      <w:pPr>
        <w:pStyle w:val="ListBullet"/>
        <w:keepLines/>
      </w:pPr>
      <w:r>
        <w:t xml:space="preserve">Complete a tuberculosis risk assessment and any examination required by applicable law or district policy.</w:t>
      </w:r>
    </w:p>
    <w:p>
      <w:pPr>
        <w:pStyle w:val="ListBullet"/>
        <w:keepLines/>
      </w:pPr>
      <w:r>
        <w:t xml:space="preserve">Maintain required credentials and complete district-assigned training in privacy, cybersecurity, accessibility, nondiscrimination, mandated reporting, and workplace safety.</w:t>
      </w:r>
    </w:p>
    <w:p>
      <w:pPr>
        <w:pStyle w:val="ListBullet"/>
        <w:keepLines/>
      </w:pPr>
      <w:r>
        <w:t xml:space="preserve">Protect confidential student and employee records; follow approved access, sharing, retention, incident-reporting, and records-request procedures.</w:t>
      </w:r>
    </w:p>
    <w:p>
      <w:pPr>
        <w:pStyle w:val="ListBullet"/>
        <w:keepLines/>
      </w:pPr>
      <w:r>
        <w:t xml:space="preserve">Travel between district offices, schools, professional-learning locations, and community meetings as assigned.</w:t>
      </w:r>
    </w:p>
    <w:p>
      <w:pPr>
        <w:pStyle w:val="ListBullet"/>
        <w:keepLines/>
      </w:pPr>
      <w:r>
        <w:t xml:space="preserve">Possess a valid California driver's license and maintain insurability when driving is an essential function; confirm the district's actual travel requirements.</w:t>
      </w:r>
    </w:p>
    <w:p>
      <w:pPr>
        <w:pStyle w:val="ListBullet"/>
        <w:keepLines/>
      </w:pPr>
      <w:r>
        <w:t xml:space="preserve">Occasionally work evenings, weekends, or extended hours for school events, public meetings, reporting deadlines, or urgent student and operational matters.</w:t>
      </w:r>
    </w:p>
    <w:p>
      <w:pPr>
        <w:pStyle w:val="ListBullet"/>
        <w:keepLines/>
      </w:pPr>
      <w:r>
        <w:t xml:space="preserve">Perform office and school-based activities involving sitting, standing, walking, communication, and computer use; confirm any role-specific lifting or other physical requirements through local job analysis.</w:t>
      </w:r>
    </w:p>
    <w:p>
      <w:pPr>
        <w:pStyle w:val="ListBullet"/>
        <w:keepLines/>
      </w:pPr>
      <w:r>
        <w:t xml:space="preserve">Perform the essential functions of the position with or without reasonable accommodation.</w:t>
      </w:r>
    </w:p>
    <w:p>
      <w:pPr>
        <w:pStyle w:val="Heading1"/>
        <w:keepNext/>
        <w:pageBreakBefore/>
        <w:pBdr>
          <w:left w:val="single" w:sz="18" w:space="8" w:color="FDAB42"/>
        </w:pBdr>
      </w:pPr>
      <w:r>
        <w:t>Document Control and Local Adoption</w:t>
      </w:r>
    </w:p>
    <w:tbl>
      <w:tblPr>
        <w:tblStyle w:val="TableGrid"/>
        <w:tblW w:type="dxa" w:w="9360"/>
        <w:jc w:val="left"/>
        <w:tblLayout w:type="fixed"/>
        <w:tblLook w:firstColumn="1" w:firstRow="1" w:lastColumn="0" w:lastRow="0" w:noHBand="0" w:noVBand="1" w:val="04A0"/>
        <w:tblInd w:w="0" w:type="dxa"/>
      </w:tblPr>
      <w:tblGrid>
        <w:gridCol w:w="2520"/>
        <w:gridCol w:w="6840"/>
      </w:tblGrid>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Governing Board Approval Date</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date</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Effective Date</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date</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Last Revision Date</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date</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Human Resources Review Date</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date</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Job Description Number</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number</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Salary Schedule Reference</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schedule</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Governing Policy Reference</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applicable policy</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Collective Bargaining Reference</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if applicable</w:t>
            </w:r>
          </w:p>
        </w:tc>
      </w:tr>
    </w:tbl>
    <w:p>
      <w:pPr>
        <w:keepLines/>
        <w:spacing w:before="120" w:after="160"/>
        <w:ind w:left="230" w:right="115"/>
        <w:pBdr>
          <w:left w:val="single" w:sz="18" w:space="8" w:color="FDAB42"/>
        </w:pBdr>
        <w:shd w:fill="F4F5F6"/>
      </w:pPr>
      <w:r>
        <w:rPr>
          <w:rFonts w:ascii="Aptos" w:hAnsi="Aptos"/>
          <w:b/>
          <w:color w:val="315F74"/>
          <w:sz w:val="19"/>
        </w:rPr>
        <w:t xml:space="preserve">LOCAL ADAPTATION REQUIRED. </w:t>
      </w:r>
      <w:r>
        <w:rPr>
          <w:rFonts w:ascii="Aptos" w:hAnsi="Aptos"/>
          <w:color w:val="66747A"/>
          <w:sz w:val="19"/>
        </w:rPr>
        <w:t>This description identifies the general nature and principal responsibilities of the position. The employing district should identify the position's actual essential functions and revise all requirements to reflect its operations, board policies, collective bargaining agreements, and applicable laws. Local human-resources and legal review is recommended before formal adoption.</w:t>
      </w:r>
    </w:p>
    <w:p>
      <w:pPr>
        <w:keepLines/>
        <w:spacing w:before="120" w:after="160"/>
        <w:ind w:left="230" w:right="115"/>
        <w:pBdr>
          <w:left w:val="single" w:sz="18" w:space="8" w:color="315F74"/>
        </w:pBdr>
        <w:shd w:fill="EAF3F7"/>
      </w:pPr>
      <w:r>
        <w:rPr>
          <w:rFonts w:ascii="Aptos" w:hAnsi="Aptos"/>
          <w:b/>
          <w:color w:val="315F74"/>
          <w:sz w:val="19"/>
        </w:rPr>
        <w:t xml:space="preserve">SDLA EXEMPLAR AND USE NOTICE. </w:t>
      </w:r>
      <w:r>
        <w:rPr>
          <w:rFonts w:ascii="Aptos" w:hAnsi="Aptos"/>
          <w:color w:val="66747A"/>
          <w:sz w:val="19"/>
        </w:rPr>
        <w:t>This exemplar Director of Multilingual Education job description is provided as a free resource for school districts by the School Data Leadership Association. It is an educational reference template, not an employment announcement or recruitment by SDLA. It is intended as a customizable starting point and does not constitute legal, human-resources, employment, or regulatory advice. SDLA makes no representations regarding its accuracy, completeness, currency, or suitability for a particular organization, position, or jurisdiction. School districts are welcome to use and adapt it.</w:t>
      </w:r>
    </w:p>
    <w:sectPr w:rsidR="00C7230F" w:rsidSect="00034616">
      <w:headerReference w:type="default" r:id="rId8"/>
      <w:footerReference w:type="default" r:id="rId9"/>
      <w:headerReference w:type="even" r:id="rId12"/>
      <w:footerReference w:type="even" r:id="rId13"/>
      <w:pgSz w:w="12240" w:h="15840"/>
      <w:pgMar w:top="1123" w:right="1296" w:bottom="1123" w:left="1296" w:header="504"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C6A1A43" w14:textId="77777777" w:rsidR="00A91A23" w:rsidRDefault="00A91A23">
      <w:pPr>
        <w:spacing w:after="0" w:line="240" w:lineRule="auto"/>
      </w:pPr>
      <w:r>
        <w:separator/>
      </w:r>
    </w:p>
  </w:endnote>
  <w:endnote w:type="continuationSeparator" w:id="0">
    <w:p w14:paraId="4DE04C61" w14:textId="77777777" w:rsidR="00A91A23" w:rsidRDefault="00A91A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1F965A5" w14:textId="77777777" w:rsidR="00C7230F" w:rsidRDefault="00000000">
    <w:pPr>
      <w:pStyle w:val="Footer"/>
      <w:spacing w:before="0"/>
      <w:jc w:val="center"/>
    </w:pPr>
    <w:r>
      <w:rPr>
        <w:rFonts w:ascii="Aptos" w:hAnsi="Aptos"/>
        <w:color w:val="66747A"/>
        <w:sz w:val="16"/>
      </w:rPr>
      <w:t>Reference resource - not a job posting  |  schooldataleadership.org</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jc w:val="center"/>
    </w:pPr>
    <w:r>
      <w:rPr>
        <w:rFonts w:ascii="Aptos" w:hAnsi="Aptos"/>
        <w:color w:val="66747A"/>
        <w:sz w:val="16"/>
      </w:rPr>
      <w:t>Reference resource - not a job posting  |  schooldataleadership.org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BC6EB3B" w14:textId="77777777" w:rsidR="00A91A23" w:rsidRDefault="00A91A23">
      <w:pPr>
        <w:spacing w:after="0" w:line="240" w:lineRule="auto"/>
      </w:pPr>
      <w:r>
        <w:separator/>
      </w:r>
    </w:p>
  </w:footnote>
  <w:footnote w:type="continuationSeparator" w:id="0">
    <w:p w14:paraId="7FF97964" w14:textId="77777777" w:rsidR="00A91A23" w:rsidRDefault="00A91A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2F902A1" w14:textId="77777777" w:rsidR="00C7230F" w:rsidRDefault="00000000">
    <w:pPr>
      <w:pStyle w:val="Header"/>
      <w:spacing w:after="0"/>
      <w:jc w:val="right"/>
    </w:pPr>
    <w:r>
      <w:rPr>
        <w:rFonts w:ascii="Aptos" w:hAnsi="Aptos"/>
        <w:b/>
        <w:color w:val="66747A"/>
        <w:sz w:val="17"/>
      </w:rPr>
      <w:t>SCHOOL DATA LEADERSHIP ASSOCIATION  |  EXAMPLE JOB DESCRIPTION</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right"/>
    </w:pPr>
    <w:r>
      <w:rPr>
        <w:rFonts w:ascii="Aptos" w:hAnsi="Aptos"/>
        <w:b/>
        <w:color w:val="66747A"/>
        <w:sz w:val="17"/>
      </w:rPr>
      <w:t>SCHOOL DATA LEADERSHIP ASSOCIATION  |  EXAMPLE JOB DESCRIPTION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42109458">
    <w:abstractNumId w:val="8"/>
  </w:num>
  <w:num w:numId="2" w16cid:durableId="1224675748">
    <w:abstractNumId w:val="6"/>
  </w:num>
  <w:num w:numId="3" w16cid:durableId="1091858067">
    <w:abstractNumId w:val="5"/>
  </w:num>
  <w:num w:numId="4" w16cid:durableId="633681223">
    <w:abstractNumId w:val="4"/>
  </w:num>
  <w:num w:numId="5" w16cid:durableId="1070032234">
    <w:abstractNumId w:val="7"/>
  </w:num>
  <w:num w:numId="6" w16cid:durableId="1834876961">
    <w:abstractNumId w:val="3"/>
  </w:num>
  <w:num w:numId="7" w16cid:durableId="107553760">
    <w:abstractNumId w:val="2"/>
  </w:num>
  <w:num w:numId="8" w16cid:durableId="941649264">
    <w:abstractNumId w:val="1"/>
  </w:num>
  <w:num w:numId="9" w16cid:durableId="102479284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21"/>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4DE1"/>
    <w:rsid w:val="00034616"/>
    <w:rsid w:val="0006063C"/>
    <w:rsid w:val="0015074B"/>
    <w:rsid w:val="0029639D"/>
    <w:rsid w:val="00326F90"/>
    <w:rsid w:val="008271F0"/>
    <w:rsid w:val="00A91A23"/>
    <w:rsid w:val="00AA1D8D"/>
    <w:rsid w:val="00B47730"/>
    <w:rsid w:val="00BB56FD"/>
    <w:rsid w:val="00C7230F"/>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C6306BF"/>
  <w14:defaultImageDpi w14:val="300"/>
  <w15:docId w15:val="{0B011544-D1D3-5142-AEDD-E4317B6AA4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64" w:lineRule="auto"/>
    </w:pPr>
    <w:rPr>
      <w:rFonts w:ascii="Aptos" w:hAnsi="Aptos"/>
      <w:color w:val="26383F"/>
      <w:sz w:val="21"/>
    </w:rPr>
  </w:style>
  <w:style w:type="paragraph" w:styleId="Heading1">
    <w:name w:val="heading 1"/>
    <w:basedOn w:val="Normal"/>
    <w:next w:val="Normal"/>
    <w:link w:val="Heading1Char"/>
    <w:uiPriority w:val="9"/>
    <w:qFormat/>
    <w:rsid w:val="00FC693F"/>
    <w:pPr>
      <w:keepNext/>
      <w:keepLines/>
      <w:spacing w:before="320" w:after="160"/>
      <w:outlineLvl w:val="0"/>
    </w:pPr>
    <w:rPr>
      <w:rFonts w:asciiTheme="majorHAnsi" w:eastAsiaTheme="majorEastAsia" w:hAnsiTheme="majorHAnsi" w:cstheme="majorBidi" w:ascii="Aptos Display" w:hAnsi="Aptos Display"/>
      <w:b/>
      <w:bCs/>
      <w:color w:val="315F74"/>
      <w:sz w:val="32"/>
      <w:szCs w:val="28"/>
    </w:rPr>
  </w:style>
  <w:style w:type="paragraph" w:styleId="Heading2">
    <w:name w:val="heading 2"/>
    <w:basedOn w:val="Normal"/>
    <w:next w:val="Normal"/>
    <w:link w:val="Heading2Char"/>
    <w:uiPriority w:val="9"/>
    <w:unhideWhenUsed/>
    <w:qFormat/>
    <w:rsid w:val="00FC693F"/>
    <w:pPr>
      <w:keepNext/>
      <w:keepLines/>
      <w:spacing w:before="220" w:after="100"/>
      <w:outlineLvl w:val="1"/>
    </w:pPr>
    <w:rPr>
      <w:rFonts w:asciiTheme="majorHAnsi" w:eastAsiaTheme="majorEastAsia" w:hAnsiTheme="majorHAnsi" w:cstheme="majorBidi" w:ascii="Aptos Display" w:hAnsi="Aptos Display"/>
      <w:b/>
      <w:bCs/>
      <w:color w:val="315F74"/>
      <w:sz w:val="24"/>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b/>
      <w:bCs/>
      <w:color w:val="244A5C"/>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80" w:line="254" w:lineRule="auto"/>
      <w:ind w:left="490" w:hanging="259"/>
      <w:contextualSpacing/>
    </w:pPr>
    <w:rPr>
      <w:rFonts w:ascii="Aptos" w:hAnsi="Aptos"/>
      <w:color w:val="26383F"/>
      <w:sz w:val="20"/>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2" Type="http://schemas.openxmlformats.org/officeDocument/2006/relationships/header" Target="header2.xml"/><Relationship Id="rId13"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1667</Words>
  <Characters>9504</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11149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Director of Multilingual Education</dc:title>
  <dc:subject>Customizable school district Director of Data and Analytics job description</dc:subject>
  <dc:creator>School Data Leadership Association</dc:creator>
  <cp:keywords>Director of Data and Analytics, example job description, SDLA</cp:keywords>
  <dc:description>Reference resource; not a job posting. Review and adapt locally before adoption.</dc:description>
  <cp:lastModifiedBy>Chris Moggia</cp:lastModifiedBy>
  <cp:revision>2</cp:revision>
  <dcterms:created xsi:type="dcterms:W3CDTF">2026-08-15T21:45:00Z</dcterms:created>
  <dcterms:modified xsi:type="dcterms:W3CDTF">2026-08-15T21:45:00Z</dcterms:modified>
  <cp:category/>
</cp:coreProperties>
</file>