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Mental Health and Wellness</w:t>
      </w:r>
    </w:p>
    <w:p>
      <w:pPr>
        <w:spacing w:after="240"/>
      </w:pPr>
      <w:r>
        <w:rPr>
          <w:rFonts w:ascii="Aptos" w:hAnsi="Aptos"/>
          <w:b/>
          <w:color w:val="66747A"/>
          <w:sz w:val="24"/>
        </w:rPr>
        <w:t xml:space="preserve">Timely Support and Confidential Service Evidence</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Management — certificated status depends on assigned duties (illustrative)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Mental Health and Wellness leads district mental health and wellness systems, prevention, referral pathways, provider coordination, and assigned support personnel. The district or employing agency should define the final portfolio, delegated authority, and relationships with other program owners.</w:t>
      </w:r>
    </w:p>
    <w:p>
      <w:r>
        <w:t xml:space="preserve">The position uses access, wait-time, continuity, and service evidence to improve support while protecting sensitive records; separates program leadership from clinical practice and emergency authority.</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Student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school psychology, counseling, social work, mental health, educational leadership, or a related field; confirm the local degree requirement and permitted equivalents.</w:t>
      </w:r>
    </w:p>
    <w:p>
      <w:pPr>
        <w:pStyle w:val="ListBullet"/>
        <w:keepLines/>
      </w:pPr>
      <w:r>
        <w:t xml:space="preserve">Hold the California credential, permit, professional license, or other authorization required by the actual assignment. HR must verify whether administrative, pupil-services, clinical, or other authorization is needed; the management title alone does not authorize professional practice. Clinical practice and clinical supervision, if assigned, require appropriate professional authorization and supervision; verify these separately from program management.</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school psychology, counseling, social work, mental health, educational leadership,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school mental health or pupil-services leadership, referral-system improvement, and interagency coordination;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referral access, wait times, service continuity and unmet demand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mental health referral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Support Systems and Partnerships</w:t>
      </w:r>
    </w:p>
    <w:p>
      <w:pPr>
        <w:pStyle w:val="ListBullet"/>
        <w:keepLines/>
      </w:pPr>
      <w:r>
        <w:t xml:space="preserve">Lead coordinated prevention, wellness, and referral pathways with schools, qualified clinicians, families, and community partners.</w:t>
      </w:r>
    </w:p>
    <w:p>
      <w:pPr>
        <w:pStyle w:val="ListBullet"/>
        <w:keepLines/>
      </w:pPr>
      <w:r>
        <w:t xml:space="preserve">Clarify clinical supervision, crisis escalation, consent, referral ownership, and handoffs; ensure urgent concerns reach qualified responders promptly.</w:t>
      </w:r>
    </w:p>
    <w:p>
      <w:pPr>
        <w:pStyle w:val="ListBullet"/>
        <w:keepLines/>
      </w:pPr>
      <w:r>
        <w:t xml:space="preserve">Coordinate with disability, counseling, and student services owners to improve continuity while preserving individualized decisions and provider boundaries.</w:t>
      </w:r>
    </w:p>
    <w:p>
      <w:pPr>
        <w:pStyle w:val="Heading2"/>
        <w:keepNext/>
      </w:pPr>
      <w:r>
        <w:t xml:space="preserve">Access and Service Evaluation</w:t>
      </w:r>
    </w:p>
    <w:p>
      <w:pPr>
        <w:pStyle w:val="ListBullet"/>
        <w:keepLines/>
      </w:pPr>
      <w:r>
        <w:t xml:space="preserve">Track referral receipt, triage, wait time, access, delivery, follow-up, and unresolved demand using purpose-limited approved records.</w:t>
      </w:r>
    </w:p>
    <w:p>
      <w:pPr>
        <w:pStyle w:val="ListBullet"/>
        <w:keepLines/>
      </w:pPr>
      <w:r>
        <w:t xml:space="preserve">Evaluate barriers, continuity, student experience, and appropriate outcomes with qualified professionals; distinguish service use from need prevalence or clinical diagnosis.</w:t>
      </w:r>
    </w:p>
    <w:p>
      <w:pPr>
        <w:pStyle w:val="ListBullet"/>
        <w:keepLines/>
      </w:pPr>
      <w:r>
        <w:t xml:space="preserve">Review screening coverage, validity, consent requirements, false alerts, and response capacity before implementation; avoid unsupported risk labels.</w:t>
      </w:r>
    </w:p>
    <w:p>
      <w:pPr>
        <w:pStyle w:val="Heading2"/>
        <w:keepNext/>
      </w:pPr>
      <w:r>
        <w:t xml:space="preserve">Confidentiality and Professional Boundaries</w:t>
      </w:r>
    </w:p>
    <w:p>
      <w:pPr>
        <w:pStyle w:val="ListBullet"/>
        <w:keepLines/>
      </w:pPr>
      <w:r>
        <w:t xml:space="preserve">Verify applicable student-record, clinical-record, consent, mandated-reporting, and professional requirements with legal and qualified clinical owners.</w:t>
      </w:r>
    </w:p>
    <w:p>
      <w:pPr>
        <w:pStyle w:val="ListBullet"/>
        <w:keepLines/>
      </w:pPr>
      <w:r>
        <w:t xml:space="preserve">Limit district reporting to necessary authorized information; separate psychotherapy or other restricted records from general student dashboards as required.</w:t>
      </w:r>
    </w:p>
    <w:p>
      <w:pPr>
        <w:pStyle w:val="ListBullet"/>
        <w:keepLines/>
      </w:pPr>
      <w:r>
        <w:t xml:space="preserve">Review telehealth, referral, and AI products for safety, privacy, accessibility, evidence, and accountable human care; prohibit autonomous diagnosis or crisis decisions.</w:t>
      </w:r>
    </w:p>
    <w:p>
      <w:pPr>
        <w:pStyle w:val="Heading2"/>
        <w:keepNext/>
      </w:pPr>
      <w:r>
        <w:t xml:space="preserve">Leadership and Capacity</w:t>
      </w:r>
    </w:p>
    <w:p>
      <w:pPr>
        <w:pStyle w:val="ListBullet"/>
        <w:keepLines/>
      </w:pPr>
      <w:r>
        <w:t xml:space="preserve">Plan assigned staffing, contracts, supervision, professional learning, and budgets using verified demand and service-capacity evidence.</w:t>
      </w:r>
    </w:p>
    <w:p>
      <w:pPr>
        <w:pStyle w:val="ListBullet"/>
        <w:keepLines/>
      </w:pPr>
      <w:r>
        <w:t xml:space="preserve">Train teams in respectful referrals, safe handoffs, documentation, data interpretation, and appropriate escalation without expanding unlicensed practice.</w:t>
      </w:r>
    </w:p>
    <w:p>
      <w:pPr>
        <w:pStyle w:val="ListBullet"/>
        <w:keepLines/>
      </w:pPr>
      <w:r>
        <w:t xml:space="preserve">Report aggregate access, capacity, results and limitations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School mental health systems, prevention, trauma-informed support, referral coordination, and professional scope boundaries.</w:t>
      </w:r>
    </w:p>
    <w:p>
      <w:pPr>
        <w:pStyle w:val="ListBullet"/>
        <w:keepLines/>
      </w:pPr>
      <w:r>
        <w:t xml:space="preserve">Applicable consent, confidential records, mandated reporting, crisis protocols, disability protections, and clinical supervision requirements.</w:t>
      </w:r>
    </w:p>
    <w:p>
      <w:pPr>
        <w:pStyle w:val="ListBullet"/>
        <w:keepLines/>
      </w:pPr>
      <w:r>
        <w:t xml:space="preserve">Wait-time definitions, unmet demand, service continuity, screening validity, small-group privacy, and outcome-evaluation limits.</w:t>
      </w:r>
    </w:p>
    <w:p>
      <w:pPr>
        <w:pStyle w:val="ListBullet"/>
        <w:keepLines/>
      </w:pPr>
      <w:r>
        <w:t xml:space="preserve">Secure referral and service systems, provider agreements, access controls, telehealth tools, and AI safety evaluation.</w:t>
      </w:r>
    </w:p>
    <w:p>
      <w:pPr>
        <w:pStyle w:val="Heading2"/>
        <w:keepNext/>
      </w:pPr>
      <w:r>
        <w:t>Ability to</w:t>
      </w:r>
    </w:p>
    <w:p>
      <w:pPr>
        <w:pStyle w:val="ListBullet"/>
        <w:keepLines/>
      </w:pPr>
      <w:r>
        <w:t xml:space="preserve">Translate priorities in district mental health and wellness systems, prevention, referral pathways, provider coordination, and assigned support personnel into feasible plans, clear responsibilities and measurable follow-through.</w:t>
      </w:r>
    </w:p>
    <w:p>
      <w:pPr>
        <w:pStyle w:val="ListBullet"/>
        <w:keepLines/>
      </w:pPr>
      <w:r>
        <w:t xml:space="preserve">Validate referral access, wait times, service continuity and unmet demand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Mental Health and Wellness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Mental Health and Wellness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