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Family and Community Engagement</w:t>
      </w:r>
    </w:p>
    <w:p>
      <w:pPr>
        <w:spacing w:after="240"/>
      </w:pPr>
      <w:r>
        <w:rPr>
          <w:rFonts w:ascii="Aptos" w:hAnsi="Aptos"/>
          <w:b/>
          <w:color w:val="66747A"/>
          <w:sz w:val="24"/>
        </w:rPr>
        <w:t xml:space="preserve">Representative Participation and Responsive Decisions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Management — certificated status depends on assigned duties (illustrative)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Family and Community Engagement leads district family partnership, community engagement, engagement-system improvement, and coordination of accessible two-way communication. The district or employing agency should define the final portfolio, delegated authority, and relationships with other program owners.</w:t>
      </w:r>
    </w:p>
    <w:p>
      <w:r>
        <w:t xml:space="preserve">The position uses representative participation, language access, response quality, and evidence of follow-through to improve relationships; evaluates engagement beyond event counts and message volume.</w:t>
      </w:r>
    </w:p>
    <w:p>
      <w:pPr>
        <w:pStyle w:val="Heading1"/>
        <w:keepNext/>
        <w:pBdr>
          <w:left w:val="single" w:sz="18" w:space="8" w:color="FDAB42"/>
        </w:pBdr>
      </w:pPr>
      <w:r>
        <w:t>Reports To</w:t>
      </w:r>
    </w:p>
    <w:p>
      <w:r>
        <w:rPr>
          <w:rFonts w:ascii="Aptos" w:hAnsi="Aptos"/>
          <w:i/>
          <w:color w:val="66747A"/>
        </w:rPr>
        <w:t xml:space="preserve">Illustrative reporting relationship: Superintendent,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 communications, community engagement, public administration, or a related field; confirm the local degree requirement and permitted equivalents.</w:t>
      </w:r>
    </w:p>
    <w:p>
      <w:pPr>
        <w:pStyle w:val="ListBullet"/>
        <w:keepLines/>
      </w:pPr>
      <w:r>
        <w:t xml:space="preserve">Hold the California credential, permit, professional license, or other authorization required by the actual assignment. HR must verify whether administrative, pupil-services, clinical, or other authorization is needed; the management title alone does not authorize professional practice.</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 communications, community engagement, public administration,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family engagement leadership, community partnership, inclusive outreach, and cross-school improvement;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representative participation, language access, response quality and follow-through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family engagement and listening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Family Partnership and Access</w:t>
      </w:r>
    </w:p>
    <w:p>
      <w:pPr>
        <w:pStyle w:val="ListBullet"/>
        <w:keepLines/>
      </w:pPr>
      <w:r>
        <w:t xml:space="preserve">Lead a district approach to family partnership with schools and community groups; create practical channels for families to shape decisions.</w:t>
      </w:r>
    </w:p>
    <w:p>
      <w:pPr>
        <w:pStyle w:val="ListBullet"/>
        <w:keepLines/>
      </w:pPr>
      <w:r>
        <w:t xml:space="preserve">Coordinate language access, accessible formats, meeting options, and other participation supports with responsible district owners.</w:t>
      </w:r>
    </w:p>
    <w:p>
      <w:pPr>
        <w:pStyle w:val="ListBullet"/>
        <w:keepLines/>
      </w:pPr>
      <w:r>
        <w:t xml:space="preserve">Support advisory groups, school engagement teams, and respectful two-way communication; distinguish engagement from public relations.</w:t>
      </w:r>
    </w:p>
    <w:p>
      <w:pPr>
        <w:pStyle w:val="Heading2"/>
        <w:keepNext/>
      </w:pPr>
      <w:r>
        <w:t xml:space="preserve">Participation and Listening Evidence</w:t>
      </w:r>
    </w:p>
    <w:p>
      <w:pPr>
        <w:pStyle w:val="ListBullet"/>
        <w:keepLines/>
      </w:pPr>
      <w:r>
        <w:t xml:space="preserve">Analyze participation against relevant family populations, response patterns, outreach reach, and barriers without creating unnecessary sensitive profiles.</w:t>
      </w:r>
    </w:p>
    <w:p>
      <w:pPr>
        <w:pStyle w:val="ListBullet"/>
        <w:keepLines/>
      </w:pPr>
      <w:r>
        <w:t xml:space="preserve">Design surveys and listening processes with clear purpose, readable questions, representative outreach, and explicit nonresponse limitations.</w:t>
      </w:r>
    </w:p>
    <w:p>
      <w:pPr>
        <w:pStyle w:val="ListBullet"/>
        <w:keepLines/>
      </w:pPr>
      <w:r>
        <w:t xml:space="preserve">Track issues raised, accountable responses, resolution, and changes in practice; evaluate trust and usefulness alongside attendance.</w:t>
      </w:r>
    </w:p>
    <w:p>
      <w:pPr>
        <w:pStyle w:val="Heading2"/>
        <w:keepNext/>
      </w:pPr>
      <w:r>
        <w:t xml:space="preserve">Access and Responsible Systems</w:t>
      </w:r>
    </w:p>
    <w:p>
      <w:pPr>
        <w:pStyle w:val="ListBullet"/>
        <w:keepLines/>
      </w:pPr>
      <w:r>
        <w:t xml:space="preserve">Coordinate applicable family notice, consultation, nondiscrimination, accessibility, and records obligations with program and compliance owners.</w:t>
      </w:r>
    </w:p>
    <w:p>
      <w:pPr>
        <w:pStyle w:val="ListBullet"/>
        <w:keepLines/>
      </w:pPr>
      <w:r>
        <w:t xml:space="preserve">Maintain approved contact preferences, language records, permissions, and complaint handoffs; protect families from inappropriate disclosure or retaliation.</w:t>
      </w:r>
    </w:p>
    <w:p>
      <w:pPr>
        <w:pStyle w:val="ListBullet"/>
        <w:keepLines/>
      </w:pPr>
      <w:r>
        <w:t xml:space="preserve">Review messaging, survey, translation, and AI summarization tools for accuracy, access, privacy, and human verification of consequential messages.</w:t>
      </w:r>
    </w:p>
    <w:p>
      <w:pPr>
        <w:pStyle w:val="Heading2"/>
        <w:keepNext/>
      </w:pPr>
      <w:r>
        <w:t xml:space="preserve">Leadership and Improvement</w:t>
      </w:r>
    </w:p>
    <w:p>
      <w:pPr>
        <w:pStyle w:val="ListBullet"/>
        <w:keepLines/>
      </w:pPr>
      <w:r>
        <w:t xml:space="preserve">Supervise assigned personnel and budgets; coach schools to use listening evidence and remove practical participation barriers.</w:t>
      </w:r>
    </w:p>
    <w:p>
      <w:pPr>
        <w:pStyle w:val="ListBullet"/>
        <w:keepLines/>
      </w:pPr>
      <w:r>
        <w:t xml:space="preserve">Build community partnerships with clear purposes and evaluate whether outreach changes access and district responsiveness.</w:t>
      </w:r>
    </w:p>
    <w:p>
      <w:pPr>
        <w:pStyle w:val="ListBullet"/>
        <w:keepLines/>
      </w:pPr>
      <w:r>
        <w:t xml:space="preserve">Report representation, concerns, actions and remaining barriers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Family partnership, community engagement, advisory participation, two-way communication, and adult learning.</w:t>
      </w:r>
    </w:p>
    <w:p>
      <w:pPr>
        <w:pStyle w:val="ListBullet"/>
        <w:keepLines/>
      </w:pPr>
      <w:r>
        <w:t xml:space="preserve">Applicable language-access, accessibility, consultation, privacy, notice, and complaint-referral requirements.</w:t>
      </w:r>
    </w:p>
    <w:p>
      <w:pPr>
        <w:pStyle w:val="ListBullet"/>
        <w:keepLines/>
      </w:pPr>
      <w:r>
        <w:t xml:space="preserve">Survey design, nonresponse bias, representative participation, qualitative analysis, and evaluation beyond event counts.</w:t>
      </w:r>
    </w:p>
    <w:p>
      <w:pPr>
        <w:pStyle w:val="ListBullet"/>
        <w:keepLines/>
      </w:pPr>
      <w:r>
        <w:t xml:space="preserve">Family messaging and survey platforms, contact-data quality, translation workflows, and responsible AI summaries.</w:t>
      </w:r>
    </w:p>
    <w:p>
      <w:pPr>
        <w:pStyle w:val="Heading2"/>
        <w:keepNext/>
      </w:pPr>
      <w:r>
        <w:t>Ability to</w:t>
      </w:r>
    </w:p>
    <w:p>
      <w:pPr>
        <w:pStyle w:val="ListBullet"/>
        <w:keepLines/>
      </w:pPr>
      <w:r>
        <w:t xml:space="preserve">Translate priorities in district family partnership, community engagement, engagement-system improvement, and coordination of accessible two-way communication into feasible plans, clear responsibilities and measurable follow-through.</w:t>
      </w:r>
    </w:p>
    <w:p>
      <w:pPr>
        <w:pStyle w:val="ListBullet"/>
        <w:keepLines/>
      </w:pPr>
      <w:r>
        <w:t xml:space="preserve">Validate representative participation, language access, response quality and follow-through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Family and Community Engagement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Family and Community Engagement</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