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Educational Equity</w:t>
      </w:r>
    </w:p>
    <w:p>
      <w:pPr>
        <w:spacing w:after="240"/>
      </w:pPr>
      <w:r>
        <w:rPr>
          <w:rFonts w:ascii="Aptos" w:hAnsi="Aptos"/>
          <w:b/>
          <w:color w:val="66747A"/>
          <w:sz w:val="24"/>
        </w:rPr>
        <w:t xml:space="preserve">Opportunity Evidence and Accountable Practice</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Educational Equity leads district educational equity strategy, opportunity analysis, policy implementation, and staff learning with responsible program owners. The district or employing agency should define the final portfolio, delegated authority, and relationships with other program owners.</w:t>
      </w:r>
    </w:p>
    <w:p>
      <w:r>
        <w:t xml:space="preserve">The position investigates access, resource allocation, student experience, and policy effects using trustworthy evidence; turns findings into measurable changes while protecting privacy and avoiding unsupported causal claims.</w:t>
      </w:r>
    </w:p>
    <w:p>
      <w:pPr>
        <w:pStyle w:val="Heading1"/>
        <w:keepNext/>
        <w:pBdr>
          <w:left w:val="single" w:sz="18" w:space="8" w:color="FDAB42"/>
        </w:pBdr>
      </w:pPr>
      <w:r>
        <w:t>Reports To</w:t>
      </w:r>
    </w:p>
    <w:p>
      <w:r>
        <w:rPr>
          <w:rFonts w:ascii="Aptos" w:hAnsi="Aptos"/>
          <w:i/>
          <w:color w:val="66747A"/>
        </w:rPr>
        <w:t xml:space="preserve">Illustrative reporting relationship: Superintendent,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policy, social sciences,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education policy, social sciences,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educational leadership, equity-focused improvement, policy review, and collaborative organizational change;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course access, resource distribution, student experience and policy effects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educational opportunity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Equity Strategy and Partnership</w:t>
      </w:r>
    </w:p>
    <w:p>
      <w:pPr>
        <w:pStyle w:val="ListBullet"/>
        <w:keepLines/>
      </w:pPr>
      <w:r>
        <w:t xml:space="preserve">Lead an evidence-informed equity agenda with students, families, staff, and program leaders; define the educational barriers each priority addresses.</w:t>
      </w:r>
    </w:p>
    <w:p>
      <w:pPr>
        <w:pStyle w:val="ListBullet"/>
        <w:keepLines/>
      </w:pPr>
      <w:r>
        <w:t xml:space="preserve">Review policies and implementation for avoidable opportunity barriers with accountable owners and legal specialists.</w:t>
      </w:r>
    </w:p>
    <w:p>
      <w:pPr>
        <w:pStyle w:val="ListBullet"/>
        <w:keepLines/>
      </w:pPr>
      <w:r>
        <w:t xml:space="preserve">Support culturally responsive practice, inclusive engagement, and staff learning tied to specific changes in instruction and service access.</w:t>
      </w:r>
    </w:p>
    <w:p>
      <w:pPr>
        <w:pStyle w:val="Heading2"/>
        <w:keepNext/>
      </w:pPr>
      <w:r>
        <w:t xml:space="preserve">Opportunity and Resource Analysis</w:t>
      </w:r>
    </w:p>
    <w:p>
      <w:pPr>
        <w:pStyle w:val="ListBullet"/>
        <w:keepLines/>
      </w:pPr>
      <w:r>
        <w:t xml:space="preserve">Analyze course access, referrals, resources, staffing, discipline, participation, and outcomes using valid populations, denominators, and context.</w:t>
      </w:r>
    </w:p>
    <w:p>
      <w:pPr>
        <w:pStyle w:val="ListBullet"/>
        <w:keepLines/>
      </w:pPr>
      <w:r>
        <w:t xml:space="preserve">Combine subgroup and intersectional inquiry with student experience; protect small groups and distinguish disparity, association, and demonstrated causes.</w:t>
      </w:r>
    </w:p>
    <w:p>
      <w:pPr>
        <w:pStyle w:val="ListBullet"/>
        <w:keepLines/>
      </w:pPr>
      <w:r>
        <w:t xml:space="preserve">Examine referral rules, scheduling, prerequisite practices, and resource distribution; track whether adopted changes improve opportunity and experience.</w:t>
      </w:r>
    </w:p>
    <w:p>
      <w:pPr>
        <w:pStyle w:val="Heading2"/>
        <w:keepNext/>
      </w:pPr>
      <w:r>
        <w:t xml:space="preserve">Policy and Responsible Evidence</w:t>
      </w:r>
    </w:p>
    <w:p>
      <w:pPr>
        <w:pStyle w:val="ListBullet"/>
        <w:keepLines/>
      </w:pPr>
      <w:r>
        <w:t xml:space="preserve">Coordinate current nondiscrimination, accessibility, privacy, and civil-rights concerns with designated compliance owners; preserve complaint procedures and individual rights.</w:t>
      </w:r>
    </w:p>
    <w:p>
      <w:pPr>
        <w:pStyle w:val="ListBullet"/>
        <w:keepLines/>
      </w:pPr>
      <w:r>
        <w:t xml:space="preserve">Establish transparent definitions, data limitations, safe reporting practices, and documented review of consequential equity findings.</w:t>
      </w:r>
    </w:p>
    <w:p>
      <w:pPr>
        <w:pStyle w:val="ListBullet"/>
        <w:keepLines/>
      </w:pPr>
      <w:r>
        <w:t xml:space="preserve">Review analytic and AI tools for representativeness, proxy variables, differential errors, accessibility, and human accountability.</w:t>
      </w:r>
    </w:p>
    <w:p>
      <w:pPr>
        <w:pStyle w:val="Heading2"/>
        <w:keepNext/>
      </w:pPr>
      <w:r>
        <w:t xml:space="preserve">Leadership and Follow Through</w:t>
      </w:r>
    </w:p>
    <w:p>
      <w:pPr>
        <w:pStyle w:val="ListBullet"/>
        <w:keepLines/>
      </w:pPr>
      <w:r>
        <w:t xml:space="preserve">Align assigned staff, budgets, professional learning, and improvement commitments to identified barriers and feasible action.</w:t>
      </w:r>
    </w:p>
    <w:p>
      <w:pPr>
        <w:pStyle w:val="ListBullet"/>
        <w:keepLines/>
      </w:pPr>
      <w:r>
        <w:t xml:space="preserve">Coach teams to interpret patterns without deficit assumptions, to test explanations, and to evaluate implementation with affected communities.</w:t>
      </w:r>
    </w:p>
    <w:p>
      <w:pPr>
        <w:pStyle w:val="ListBullet"/>
        <w:keepLines/>
      </w:pPr>
      <w:r>
        <w:t xml:space="preserve">Communicate findings, decisions, progress and uncertainty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Educational opportunity, organizational change, inclusive instructional practice, and representative community partnership.</w:t>
      </w:r>
    </w:p>
    <w:p>
      <w:pPr>
        <w:pStyle w:val="ListBullet"/>
        <w:keepLines/>
      </w:pPr>
      <w:r>
        <w:t xml:space="preserve">Applicable nondiscrimination, accessibility, student rights, privacy, and complaint-process boundaries.</w:t>
      </w:r>
    </w:p>
    <w:p>
      <w:pPr>
        <w:pStyle w:val="ListBullet"/>
        <w:keepLines/>
      </w:pPr>
      <w:r>
        <w:t xml:space="preserve">Subgroup and intersectional analysis, denominator quality, resource comparisons, selection effects, and causal-inference limits.</w:t>
      </w:r>
    </w:p>
    <w:p>
      <w:pPr>
        <w:pStyle w:val="ListBullet"/>
        <w:keepLines/>
      </w:pPr>
      <w:r>
        <w:t xml:space="preserve">SIS, staffing and resource records, survey tools, accessible dashboards, and responsible algorithm review.</w:t>
      </w:r>
    </w:p>
    <w:p>
      <w:pPr>
        <w:pStyle w:val="Heading2"/>
        <w:keepNext/>
      </w:pPr>
      <w:r>
        <w:t>Ability to</w:t>
      </w:r>
    </w:p>
    <w:p>
      <w:pPr>
        <w:pStyle w:val="ListBullet"/>
        <w:keepLines/>
      </w:pPr>
      <w:r>
        <w:t xml:space="preserve">Translate priorities in district educational equity strategy, opportunity analysis, policy implementation, and staff learning with responsible program owners into feasible plans, clear responsibilities and measurable follow-through.</w:t>
      </w:r>
    </w:p>
    <w:p>
      <w:pPr>
        <w:pStyle w:val="ListBullet"/>
        <w:keepLines/>
      </w:pPr>
      <w:r>
        <w:t xml:space="preserve">Validate course access, resource distribution, student experience and policy effects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Educational Equity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Educational Equity</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