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Community Schools</w:t>
      </w:r>
    </w:p>
    <w:p>
      <w:pPr>
        <w:spacing w:after="240"/>
      </w:pPr>
      <w:r>
        <w:rPr>
          <w:rFonts w:ascii="Aptos" w:hAnsi="Aptos"/>
          <w:b/>
          <w:color w:val="66747A"/>
          <w:sz w:val="24"/>
        </w:rPr>
        <w:t xml:space="preserve">Integrated Services and Shared Accountability</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Management — certificated status depends on assigned duties (illustrative)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Community Schools leads community school strategy, needs and assets assessment, collaborative leadership, integrated supports, and partner coordination. The district or employing agency should define the final portfolio, delegated authority, and relationships with other program owners.</w:t>
      </w:r>
    </w:p>
    <w:p>
      <w:r>
        <w:t xml:space="preserve">The position connects community priorities, actual service access, implementation, and student experience to improvement; uses partnership evidence without creating unnecessary shared student records.</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Educational Services or Student Services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education, community development, public administration, social work, or a related field; confirm the local degree requirement and permitted equivalents.</w:t>
      </w:r>
    </w:p>
    <w:p>
      <w:pPr>
        <w:pStyle w:val="ListBullet"/>
        <w:keepLines/>
      </w:pPr>
      <w:r>
        <w:t xml:space="preserve">Hold the California credential, permit, professional license, or other authorization required by the actual assignment. HR must verify whether administrative, pupil-services, clinical, or other authorization is needed; the management title alone does not authorize professional practice.</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education, community development, public administration, social work,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community school or integrated-service leadership, school partnerships, and collaborative program implementation;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community priorities, referral completion, service access and implementation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 community school service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Community School Strategy</w:t>
      </w:r>
    </w:p>
    <w:p>
      <w:pPr>
        <w:pStyle w:val="ListBullet"/>
        <w:keepLines/>
      </w:pPr>
      <w:r>
        <w:t xml:space="preserve">Lead school and community needs and assets assessments with representative participation and accessible communication.</w:t>
      </w:r>
    </w:p>
    <w:p>
      <w:pPr>
        <w:pStyle w:val="ListBullet"/>
        <w:keepLines/>
      </w:pPr>
      <w:r>
        <w:t xml:space="preserve">Support shared leadership structures, site implementation plans, integrated supports, and connection to instruction and expanded learning.</w:t>
      </w:r>
    </w:p>
    <w:p>
      <w:pPr>
        <w:pStyle w:val="ListBullet"/>
        <w:keepLines/>
      </w:pPr>
      <w:r>
        <w:t xml:space="preserve">Define partner roles, referral pathways, commitments, and district accountability while respecting school and community leadership.</w:t>
      </w:r>
    </w:p>
    <w:p>
      <w:pPr>
        <w:pStyle w:val="Heading2"/>
        <w:keepNext/>
      </w:pPr>
      <w:r>
        <w:t xml:space="preserve">Implementation and Access Evidence</w:t>
      </w:r>
    </w:p>
    <w:p>
      <w:pPr>
        <w:pStyle w:val="ListBullet"/>
        <w:keepLines/>
      </w:pPr>
      <w:r>
        <w:t xml:space="preserve">Maintain a current service map and track availability, referral handoffs, completed access, unmet need, and participant experience.</w:t>
      </w:r>
    </w:p>
    <w:p>
      <w:pPr>
        <w:pStyle w:val="ListBullet"/>
        <w:keepLines/>
      </w:pPr>
      <w:r>
        <w:t xml:space="preserve">Evaluate implementation, trust, belonging, attendance, and appropriate learning indicators using context and suitable comparison evidence.</w:t>
      </w:r>
    </w:p>
    <w:p>
      <w:pPr>
        <w:pStyle w:val="ListBullet"/>
        <w:keepLines/>
      </w:pPr>
      <w:r>
        <w:t xml:space="preserve">Combine quantitative patterns with community knowledge; document priorities, resource choices, and whether services reach intended groups.</w:t>
      </w:r>
    </w:p>
    <w:p>
      <w:pPr>
        <w:pStyle w:val="Heading2"/>
        <w:keepNext/>
      </w:pPr>
      <w:r>
        <w:t xml:space="preserve">Governance and Information Sharing</w:t>
      </w:r>
    </w:p>
    <w:p>
      <w:pPr>
        <w:pStyle w:val="ListBullet"/>
        <w:keepLines/>
      </w:pPr>
      <w:r>
        <w:t xml:space="preserve">Coordinate current grant conditions, partnership agreements, consent, privacy, and safeguarding requirements with fiscal and legal owners.</w:t>
      </w:r>
    </w:p>
    <w:p>
      <w:pPr>
        <w:pStyle w:val="ListBullet"/>
        <w:keepLines/>
      </w:pPr>
      <w:r>
        <w:t xml:space="preserve">Use purpose-specific sharing and approved referral systems; avoid assuming partnership status permits unrestricted student-data access.</w:t>
      </w:r>
    </w:p>
    <w:p>
      <w:pPr>
        <w:pStyle w:val="ListBullet"/>
        <w:keepLines/>
      </w:pPr>
      <w:r>
        <w:t xml:space="preserve">Review partner platforms and AI needs-analysis tools for accuracy, representation, accessibility, and human verification of sensitive conclusions.</w:t>
      </w:r>
    </w:p>
    <w:p>
      <w:pPr>
        <w:pStyle w:val="Heading2"/>
        <w:keepNext/>
      </w:pPr>
      <w:r>
        <w:t xml:space="preserve">Leadership and Sustainability</w:t>
      </w:r>
    </w:p>
    <w:p>
      <w:pPr>
        <w:pStyle w:val="ListBullet"/>
        <w:keepLines/>
      </w:pPr>
      <w:r>
        <w:t xml:space="preserve">Supervise assigned personnel, budgets, contracts, and professional learning; plan sustainable capacity beyond individual grants.</w:t>
      </w:r>
    </w:p>
    <w:p>
      <w:pPr>
        <w:pStyle w:val="ListBullet"/>
        <w:keepLines/>
      </w:pPr>
      <w:r>
        <w:t xml:space="preserve">Facilitate partner review of delivery gaps and corrective action while preserving community voice in decisions.</w:t>
      </w:r>
    </w:p>
    <w:p>
      <w:pPr>
        <w:pStyle w:val="ListBullet"/>
        <w:keepLines/>
      </w:pPr>
      <w:r>
        <w:t xml:space="preserve">Report commitments, implementation, costs, results and limits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Community school approaches, integrated supports, asset-based assessment, shared leadership, and school improvement.</w:t>
      </w:r>
    </w:p>
    <w:p>
      <w:pPr>
        <w:pStyle w:val="ListBullet"/>
        <w:keepLines/>
      </w:pPr>
      <w:r>
        <w:t xml:space="preserve">Applicable grant, partnership, safeguarding, consent, confidential-record, and procurement requirements.</w:t>
      </w:r>
    </w:p>
    <w:p>
      <w:pPr>
        <w:pStyle w:val="ListBullet"/>
        <w:keepLines/>
      </w:pPr>
      <w:r>
        <w:t xml:space="preserve">Service maps, referral completion, representative engagement, implementation measures, and evaluation of complex initiatives.</w:t>
      </w:r>
    </w:p>
    <w:p>
      <w:pPr>
        <w:pStyle w:val="ListBullet"/>
        <w:keepLines/>
      </w:pPr>
      <w:r>
        <w:t xml:space="preserve">Approved referral systems, partner agreements, secure aggregate reporting, and responsible AI.</w:t>
      </w:r>
    </w:p>
    <w:p>
      <w:pPr>
        <w:pStyle w:val="Heading2"/>
        <w:keepNext/>
      </w:pPr>
      <w:r>
        <w:t>Ability to</w:t>
      </w:r>
    </w:p>
    <w:p>
      <w:pPr>
        <w:pStyle w:val="ListBullet"/>
        <w:keepLines/>
      </w:pPr>
      <w:r>
        <w:t xml:space="preserve">Translate priorities in community school strategy, needs and assets assessment, collaborative leadership, integrated supports, and partner coordination into feasible plans, clear responsibilities and measurable follow-through.</w:t>
      </w:r>
    </w:p>
    <w:p>
      <w:pPr>
        <w:pStyle w:val="ListBullet"/>
        <w:keepLines/>
      </w:pPr>
      <w:r>
        <w:t xml:space="preserve">Validate community priorities, referral completion, service access and implementation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Community Schools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Community Schools</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