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College and Career Readiness</w:t>
      </w:r>
    </w:p>
    <w:p>
      <w:pPr>
        <w:spacing w:after="240"/>
      </w:pPr>
      <w:r>
        <w:rPr>
          <w:rFonts w:ascii="Aptos" w:hAnsi="Aptos"/>
          <w:b/>
          <w:color w:val="66747A"/>
          <w:sz w:val="24"/>
        </w:rPr>
        <w:t xml:space="preserve">Equitable Pathways and Verified Postsecondary Opportunity</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College and Career Readiness leads college and career readiness strategy, pathway coordination, counseling partnerships, and assigned secondary or postsecondary transition programs. The district or employing agency should define the final portfolio, delegated authority, and relationships with other program owners.</w:t>
      </w:r>
    </w:p>
    <w:p>
      <w:r>
        <w:t xml:space="preserve">The position connects transcript accuracy, equitable pathway access, completion, and postsecondary evidence to decisions; evaluates readiness beyond participation counts and vendor claims.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secondary education, counseling,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secondary education, counseling,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secondary instruction, counseling, or pathway leadership with college and career program implementation;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course access, pathway persistence and postsecondary outcomes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college and career planning platform,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Pathways and Partnerships</w:t>
      </w:r>
    </w:p>
    <w:p>
      <w:pPr>
        <w:pStyle w:val="ListBullet"/>
        <w:keepLines/>
      </w:pPr>
      <w:r>
        <w:t xml:space="preserve">Lead coherent college and career planning with secondary schools, counselors, CTE leaders, colleges, employers, and student-support owners.</w:t>
      </w:r>
    </w:p>
    <w:p>
      <w:pPr>
        <w:pStyle w:val="ListBullet"/>
        <w:keepLines/>
      </w:pPr>
      <w:r>
        <w:t xml:space="preserve">Coordinate access to college-preparatory coursework, dual enrollment, career pathways, advising and work-based learning within the assigned portfolio.</w:t>
      </w:r>
    </w:p>
    <w:p>
      <w:pPr>
        <w:pStyle w:val="ListBullet"/>
        <w:keepLines/>
      </w:pPr>
      <w:r>
        <w:t xml:space="preserve">Review course sequencing, schedules, transportation and student costs; remove avoidable barriers while respecting student interests and multiple future pathways.</w:t>
      </w:r>
    </w:p>
    <w:p>
      <w:pPr>
        <w:pStyle w:val="Heading2"/>
        <w:keepNext/>
      </w:pPr>
      <w:r>
        <w:t xml:space="preserve">Readiness Data and Evaluation</w:t>
      </w:r>
    </w:p>
    <w:p>
      <w:pPr>
        <w:pStyle w:val="ListBullet"/>
        <w:keepLines/>
      </w:pPr>
      <w:r>
        <w:t xml:space="preserve">Validate course, transcript, pathway, completion and cohort definitions with registrars, counselors and reporting owners before publishing readiness results.</w:t>
      </w:r>
    </w:p>
    <w:p>
      <w:pPr>
        <w:pStyle w:val="ListBullet"/>
        <w:keepLines/>
      </w:pPr>
      <w:r>
        <w:t xml:space="preserve">Analyze eligibility, application, enrollment, persistence and completion separately; examine subgroup access, scheduling constraints and students missing from records.</w:t>
      </w:r>
    </w:p>
    <w:p>
      <w:pPr>
        <w:pStyle w:val="ListBullet"/>
        <w:keepLines/>
      </w:pPr>
      <w:r>
        <w:t xml:space="preserve">Evaluate pathway quality, learning, credentials, transitions and subsequent outcomes where lawfully available; disclose coverage gaps and selection bias.</w:t>
      </w:r>
    </w:p>
    <w:p>
      <w:pPr>
        <w:pStyle w:val="Heading2"/>
        <w:keepNext/>
      </w:pPr>
      <w:r>
        <w:t xml:space="preserve">Compliance and Responsible Products</w:t>
      </w:r>
    </w:p>
    <w:p>
      <w:pPr>
        <w:pStyle w:val="ListBullet"/>
        <w:keepLines/>
      </w:pPr>
      <w:r>
        <w:t xml:space="preserve">Verify current graduation, college admission, dual-enrollment, CTE, grant and work-based learning requirements with responsible specialists; maintain documented review routines.</w:t>
      </w:r>
    </w:p>
    <w:p>
      <w:pPr>
        <w:pStyle w:val="ListBullet"/>
        <w:keepLines/>
      </w:pPr>
      <w:r>
        <w:t xml:space="preserve">Coordinate agreements, student protections, accessibility, privacy and lawful data exchange with authorized legal, fiscal and partner offices.</w:t>
      </w:r>
    </w:p>
    <w:p>
      <w:pPr>
        <w:pStyle w:val="ListBullet"/>
        <w:keepLines/>
      </w:pPr>
      <w:r>
        <w:t xml:space="preserve">Evaluate advising, transcript-analysis and AI products for accuracy, interoperability, accessibility and human review; prohibit unsupported automated eligibility decisions.</w:t>
      </w:r>
    </w:p>
    <w:p>
      <w:pPr>
        <w:pStyle w:val="Heading2"/>
        <w:keepNext/>
      </w:pPr>
      <w:r>
        <w:t xml:space="preserve">Resources and Improvement</w:t>
      </w:r>
    </w:p>
    <w:p>
      <w:pPr>
        <w:pStyle w:val="ListBullet"/>
        <w:keepLines/>
      </w:pPr>
      <w:r>
        <w:t xml:space="preserve">Administer assigned staff, budgets, grants and partnerships; assess capacity, participation costs and educational value.</w:t>
      </w:r>
    </w:p>
    <w:p>
      <w:pPr>
        <w:pStyle w:val="ListBullet"/>
        <w:keepLines/>
      </w:pPr>
      <w:r>
        <w:t xml:space="preserve">Train staff to interpret readiness indicators and distinguish graduation, admission eligibility, pathway completion and broader preparedness.</w:t>
      </w:r>
    </w:p>
    <w:p>
      <w:pPr>
        <w:pStyle w:val="ListBullet"/>
        <w:keepLines/>
      </w:pPr>
      <w:r>
        <w:t xml:space="preserve">Report access, outcomes, limitations and improvement actions to authorized audiences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Secondary pathways, advising, college access, CTE, dual enrollment, work-based learning and postsecondary transitions.</w:t>
      </w:r>
    </w:p>
    <w:p>
      <w:pPr>
        <w:pStyle w:val="ListBullet"/>
        <w:keepLines/>
      </w:pPr>
      <w:r>
        <w:t xml:space="preserve">Transcript and cohort data, access funnels, persistence, outcome matching, missingness and program evaluation.</w:t>
      </w:r>
    </w:p>
    <w:p>
      <w:pPr>
        <w:pStyle w:val="ListBullet"/>
        <w:keepLines/>
      </w:pPr>
      <w:r>
        <w:t xml:space="preserve">Applicable admission, graduation, articulation, student protection, grant and data-sharing requirements.</w:t>
      </w:r>
    </w:p>
    <w:p>
      <w:pPr>
        <w:pStyle w:val="ListBullet"/>
        <w:keepLines/>
      </w:pPr>
      <w:r>
        <w:t xml:space="preserve">College and career planning platforms, SIS/transcript workflows, dashboards and responsible AI advising tools.</w:t>
      </w:r>
    </w:p>
    <w:p>
      <w:pPr>
        <w:pStyle w:val="Heading2"/>
        <w:keepNext/>
      </w:pPr>
      <w:r>
        <w:t>Ability to</w:t>
      </w:r>
    </w:p>
    <w:p>
      <w:pPr>
        <w:pStyle w:val="ListBullet"/>
        <w:keepLines/>
      </w:pPr>
      <w:r>
        <w:t xml:space="preserve">Translate priorities in college and career readiness strategy, pathway coordination, counseling partnerships, and assigned secondary or postsecondary transition programs into feasible plans, clear responsibilities and measurable follow-through.</w:t>
      </w:r>
    </w:p>
    <w:p>
      <w:pPr>
        <w:pStyle w:val="ListBullet"/>
        <w:keepLines/>
      </w:pPr>
      <w:r>
        <w:t xml:space="preserve">Validate course access, pathway persistence and postsecondary outcomes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College and Career Readiness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College and Career Readiness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