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Alternative Education</w:t>
      </w:r>
    </w:p>
    <w:p>
      <w:pPr>
        <w:spacing w:after="240"/>
      </w:pPr>
      <w:r>
        <w:rPr>
          <w:rFonts w:ascii="Aptos" w:hAnsi="Aptos"/>
          <w:b/>
          <w:color w:val="66747A"/>
          <w:sz w:val="24"/>
        </w:rPr>
        <w:t xml:space="preserve">Reengagement and Credible Learning Progress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Alternative Education leads assigned alternative education programs, school support, reengagement pathways, and coordination of student transitions. The district or employing agency should define the final portfolio, delegated authority, and relationships with other program owners.</w:t>
      </w:r>
    </w:p>
    <w:p>
      <w:r>
        <w:t xml:space="preserve">The position evaluates opportunity, actual learning, credit progress, and sustained reengagement using mobility-aware evidence; protects access, placement rights, and the integrity of completion records.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secondary education, alternative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secondary education, alternative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secondary school administration, alternative education, student reengagement, and cross-program coordination;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entry baselines, credit integrity, reengagement and sustained transitions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alternative education progress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Program Quality and Transitions</w:t>
      </w:r>
    </w:p>
    <w:p>
      <w:pPr>
        <w:pStyle w:val="ListBullet"/>
        <w:keepLines/>
      </w:pPr>
      <w:r>
        <w:t xml:space="preserve">Lead assigned alternative programs with principals and student services; define instructional expectations and routes to appropriate educational goals.</w:t>
      </w:r>
    </w:p>
    <w:p>
      <w:pPr>
        <w:pStyle w:val="ListBullet"/>
        <w:keepLines/>
      </w:pPr>
      <w:r>
        <w:t xml:space="preserve">Coordinate entry, orientation, individualized planning, reentry, and transfers with students, families, counselors, and sending schools.</w:t>
      </w:r>
    </w:p>
    <w:p>
      <w:pPr>
        <w:pStyle w:val="ListBullet"/>
        <w:keepLines/>
      </w:pPr>
      <w:r>
        <w:t xml:space="preserve">Support rigorous, accessible instruction and flexible services while preserving required disability, language-development, and student protections.</w:t>
      </w:r>
    </w:p>
    <w:p>
      <w:pPr>
        <w:pStyle w:val="Heading2"/>
        <w:keepNext/>
      </w:pPr>
      <w:r>
        <w:t xml:space="preserve">Progress and Program Evaluation</w:t>
      </w:r>
    </w:p>
    <w:p>
      <w:pPr>
        <w:pStyle w:val="ListBullet"/>
        <w:keepLines/>
      </w:pPr>
      <w:r>
        <w:t xml:space="preserve">Validate enrollment histories, transfer reasons, transcripts, earned credits, attendance, and exit destinations with records owners.</w:t>
      </w:r>
    </w:p>
    <w:p>
      <w:pPr>
        <w:pStyle w:val="ListBullet"/>
        <w:keepLines/>
      </w:pPr>
      <w:r>
        <w:t xml:space="preserve">Analyze learning and credit growth from entry baselines, mobility, persistence, and sustained transitions; avoid unfair comparison of unlike student populations.</w:t>
      </w:r>
    </w:p>
    <w:p>
      <w:pPr>
        <w:pStyle w:val="ListBullet"/>
        <w:keepLines/>
      </w:pPr>
      <w:r>
        <w:t xml:space="preserve">Review credit-recovery quality through student work, assessment conditions, engagement, and subsequent performance rather than credits awarded alone.</w:t>
      </w:r>
    </w:p>
    <w:p>
      <w:pPr>
        <w:pStyle w:val="Heading2"/>
        <w:keepNext/>
      </w:pPr>
      <w:r>
        <w:t xml:space="preserve">Placement and Responsible Systems</w:t>
      </w:r>
    </w:p>
    <w:p>
      <w:pPr>
        <w:pStyle w:val="ListBullet"/>
        <w:keepLines/>
      </w:pPr>
      <w:r>
        <w:t xml:space="preserve">Verify current placement, notice, review, attendance-accounting, and instructional requirements for each assigned program with responsible specialists.</w:t>
      </w:r>
    </w:p>
    <w:p>
      <w:pPr>
        <w:pStyle w:val="ListBullet"/>
        <w:keepLines/>
      </w:pPr>
      <w:r>
        <w:t xml:space="preserve">Examine referral and placement patterns for exclusion or inequitable access; maintain transparent review and student participation.</w:t>
      </w:r>
    </w:p>
    <w:p>
      <w:pPr>
        <w:pStyle w:val="ListBullet"/>
        <w:keepLines/>
      </w:pPr>
      <w:r>
        <w:t xml:space="preserve">Review alternative learning platforms and AI tools for curriculum quality, accessible support, privacy, and human verification of learning and placement decisions.</w:t>
      </w:r>
    </w:p>
    <w:p>
      <w:pPr>
        <w:pStyle w:val="Heading2"/>
        <w:keepNext/>
      </w:pPr>
      <w:r>
        <w:t xml:space="preserve">Leadership and Improvement</w:t>
      </w:r>
    </w:p>
    <w:p>
      <w:pPr>
        <w:pStyle w:val="ListBullet"/>
        <w:keepLines/>
      </w:pPr>
      <w:r>
        <w:t xml:space="preserve">Align assigned staff, schedules, counseling partnerships, and resources to student needs and verified service demand.</w:t>
      </w:r>
    </w:p>
    <w:p>
      <w:pPr>
        <w:pStyle w:val="ListBullet"/>
        <w:keepLines/>
      </w:pPr>
      <w:r>
        <w:t xml:space="preserve">Coach principals and program teams in cohort interpretation, small-group privacy, case review, and evaluation of reengagement strategies.</w:t>
      </w:r>
    </w:p>
    <w:p>
      <w:pPr>
        <w:pStyle w:val="ListBullet"/>
        <w:keepLines/>
      </w:pPr>
      <w:r>
        <w:t xml:space="preserve">Report access, implementation, learning, and unresolved barriers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Alternative education models, adolescent learning, reengagement, individualized planning, and school transitions.</w:t>
      </w:r>
    </w:p>
    <w:p>
      <w:pPr>
        <w:pStyle w:val="ListBullet"/>
        <w:keepLines/>
      </w:pPr>
      <w:r>
        <w:t xml:space="preserve">Program-specific placement, attendance accounting, instruction, records, disability, and due-process requirements.</w:t>
      </w:r>
    </w:p>
    <w:p>
      <w:pPr>
        <w:pStyle w:val="ListBullet"/>
        <w:keepLines/>
      </w:pPr>
      <w:r>
        <w:t xml:space="preserve">Entry-baseline evaluation, mobility, credit integrity, persistence, selection bias, and limits of cross-school comparisons.</w:t>
      </w:r>
    </w:p>
    <w:p>
      <w:pPr>
        <w:pStyle w:val="ListBullet"/>
        <w:keepLines/>
      </w:pPr>
      <w:r>
        <w:t xml:space="preserve">SIS, transcript and learning platforms, case-management records, and responsible AI in alternative settings.</w:t>
      </w:r>
    </w:p>
    <w:p>
      <w:pPr>
        <w:pStyle w:val="Heading2"/>
        <w:keepNext/>
      </w:pPr>
      <w:r>
        <w:t>Ability to</w:t>
      </w:r>
    </w:p>
    <w:p>
      <w:pPr>
        <w:pStyle w:val="ListBullet"/>
        <w:keepLines/>
      </w:pPr>
      <w:r>
        <w:t xml:space="preserve">Translate priorities in assigned alternative education programs, school support, reengagement pathways, and coordination of student transitions into feasible plans, clear responsibilities and measurable follow-through.</w:t>
      </w:r>
    </w:p>
    <w:p>
      <w:pPr>
        <w:pStyle w:val="ListBullet"/>
        <w:keepLines/>
      </w:pPr>
      <w:r>
        <w:t xml:space="preserve">Validate entry baselines, credit integrity, reengagement and sustained transitions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Alternative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Alternative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