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pPr>
        <w:spacing w:after="80"/>
      </w:pPr>
      <w:r>
        <w:rPr>
          <w:rFonts w:ascii="Aptos" w:hAnsi="Aptos"/>
          <w:b/>
          <w:color w:val="315F74"/>
          <w:sz w:val="20"/>
        </w:rPr>
        <w:t>EXAMPLE JOB DESCRIPTION</w:t>
      </w:r>
    </w:p>
    <w:p>
      <w:pPr>
        <w:pStyle w:val="Title"/>
        <w:spacing w:after="100"/>
      </w:pPr>
      <w:r>
        <w:rPr>
          <w:rFonts w:ascii="Aptos" w:hAnsi="Aptos"/>
          <w:b/>
          <w:color w:val="315F74"/>
          <w:sz w:val="52"/>
        </w:rPr>
        <w:t xml:space="preserve">Director of Adult Education</w:t>
      </w:r>
    </w:p>
    <w:p>
      <w:pPr>
        <w:spacing w:after="240"/>
      </w:pPr>
      <w:r>
        <w:rPr>
          <w:rFonts w:ascii="Aptos" w:hAnsi="Aptos"/>
          <w:b/>
          <w:color w:val="66747A"/>
          <w:sz w:val="24"/>
        </w:rPr>
        <w:t xml:space="preserve">Adult Learning and Accountable Transitions</w:t>
      </w:r>
    </w:p>
    <w:p>
      <w:pPr>
        <w:keepLines/>
        <w:spacing w:before="120" w:after="160"/>
        <w:ind w:left="230" w:right="115"/>
        <w:pBdr>
          <w:left w:val="single" w:sz="18" w:space="8" w:color="FDAB42"/>
        </w:pBdr>
        <w:shd w:fill="EAF3F7"/>
      </w:pPr>
      <w:r>
        <w:rPr>
          <w:rFonts w:ascii="Aptos" w:hAnsi="Aptos"/>
          <w:b/>
          <w:color w:val="315F74"/>
          <w:sz w:val="19"/>
        </w:rPr>
        <w:t xml:space="preserve">REFERENCE RESOURCE - NOT A JOB POSTING. </w:t>
      </w:r>
      <w:r>
        <w:rPr>
          <w:rFonts w:ascii="Aptos" w:hAnsi="Aptos"/>
          <w:color w:val="66747A"/>
          <w:sz w:val="19"/>
        </w:rPr>
        <w:t>This example does not represent an open position with the School Data Leadership Association.</w:t>
      </w:r>
    </w:p>
    <w:p>
      <w:pPr>
        <w:pStyle w:val="Heading1"/>
        <w:keepNext/>
        <w:pBdr>
          <w:left w:val="single" w:sz="18" w:space="8" w:color="FDAB42"/>
        </w:pBdr>
      </w:pPr>
      <w:r>
        <w:t>Position Information</w:t>
      </w:r>
    </w:p>
    <w:tbl>
      <w:tblPr>
        <w:tblStyle w:val="TableGrid"/>
        <w:tblW w:type="dxa" w:w="9360"/>
        <w:jc w:val="left"/>
        <w:tblLayout w:type="fixed"/>
        <w:tblLook w:firstColumn="1" w:firstRow="1" w:lastColumn="0" w:lastRow="0" w:noHBand="0" w:noVBand="1" w:val="04A0"/>
        <w:tblInd w:w="0" w:type="dxa"/>
      </w:tblPr>
      <w:tblGrid>
        <w:gridCol w:w="2520"/>
        <w:gridCol w:w="6840"/>
      </w:tblGrid>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Department / Division</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district-specific department or division</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Classification</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 xml:space="preserve">Certificated Management (illustrative; local review required)</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Employment Status</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Full-time; insert district-determined exempt or nonexempt status</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Work Year</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annual workdays or work-calendar information</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Salary Range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salary schedule and range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Bargaining Unit</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bargaining-unit or unrepresented-management designation</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Primary Location</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district-specific primary location</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Position Number</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district position or classification number</w:t>
            </w:r>
          </w:p>
        </w:tc>
      </w:tr>
    </w:tbl>
    <w:p>
      <w:pPr>
        <w:pStyle w:val="Heading1"/>
        <w:keepNext/>
        <w:pBdr>
          <w:left w:val="single" w:sz="18" w:space="8" w:color="FDAB42"/>
        </w:pBdr>
      </w:pPr>
      <w:r>
        <w:t>Position Description</w:t>
      </w:r>
    </w:p>
    <w:p>
      <w:r>
        <w:t xml:space="preserve">The Director of Adult Education leads district adult education programs, instructional quality, access, consortium partnerships, and assigned adult-learning accountability and resources. The district or employing agency should define the final portfolio, delegated authority, and relationships with other program owners.</w:t>
      </w:r>
    </w:p>
    <w:p>
      <w:r>
        <w:t xml:space="preserve">The position connects enrollment, attendance, persistence, demonstrated learning, credentials, and transitions to program decisions; applies adult-program definitions and privacy practices rather than importing K–12 assumptions.</w:t>
      </w:r>
    </w:p>
    <w:p>
      <w:pPr>
        <w:pStyle w:val="Heading1"/>
        <w:keepNext/>
        <w:pBdr>
          <w:left w:val="single" w:sz="18" w:space="8" w:color="FDAB42"/>
        </w:pBdr>
      </w:pPr>
      <w:r>
        <w:t>Reports To</w:t>
      </w:r>
    </w:p>
    <w:p>
      <w:r>
        <w:rPr>
          <w:rFonts w:ascii="Aptos" w:hAnsi="Aptos"/>
          <w:i/>
          <w:color w:val="66747A"/>
        </w:rPr>
        <w:t xml:space="preserve">Illustrative reporting relationship: Assistant Superintendent of Educational Services or other designated administrator. Confirm the locally approved structure and delegated authority.</w:t>
      </w:r>
    </w:p>
    <w:p>
      <w:pPr>
        <w:pStyle w:val="Heading1"/>
        <w:keepNext/>
        <w:pBdr>
          <w:left w:val="single" w:sz="18" w:space="8" w:color="FDAB42"/>
        </w:pBdr>
      </w:pPr>
      <w:r>
        <w:t>Required Education and Credentials</w:t>
      </w:r>
    </w:p>
    <w:p>
      <w:pPr>
        <w:pStyle w:val="Heading2"/>
        <w:keepNext/>
      </w:pPr>
      <w:r>
        <w:t>Required</w:t>
      </w:r>
    </w:p>
    <w:p>
      <w:pPr>
        <w:pStyle w:val="ListBullet"/>
        <w:keepLines/>
      </w:pPr>
      <w:r>
        <w:t xml:space="preserve">Illustrative district qualification for review: master's degree in adult education, educational leadership, workforce development, public administration, or a related field; confirm the local degree requirement and permitted equivalents.</w:t>
      </w:r>
    </w:p>
    <w:p>
      <w:pPr>
        <w:pStyle w:val="ListBullet"/>
        <w:keepLines/>
      </w:pPr>
      <w:r>
        <w:t xml:space="preserve">Hold a valid California Administrative Services Credential or other authorization appropriate to the actual assignment. District HR must verify current authorization and any additional credential requirements against the final duties. Verify adult-program administrator and instructional authorizations against the actual portfolio.</w:t>
      </w:r>
    </w:p>
    <w:p>
      <w:pPr>
        <w:pStyle w:val="ListBullet"/>
        <w:keepLines/>
      </w:pPr>
      <w:r>
        <w:t xml:space="preserve">Complete district-required employment clearances and training in student privacy, nondiscrimination, accessibility, records, safety, and responsible use of technology.</w:t>
      </w:r>
    </w:p>
    <w:p>
      <w:pPr>
        <w:pStyle w:val="Heading2"/>
        <w:keepNext/>
      </w:pPr>
      <w:r>
        <w:t>Preferred</w:t>
      </w:r>
    </w:p>
    <w:p>
      <w:pPr>
        <w:pStyle w:val="ListBullet"/>
        <w:keepLines/>
      </w:pPr>
      <w:r>
        <w:t xml:space="preserve">Graduate coursework or sustained professional learning in applied statistics, program evaluation, improvement science, education data systems, or responsible AI for educational decision-making.</w:t>
      </w:r>
    </w:p>
    <w:p>
      <w:pPr>
        <w:pStyle w:val="ListBullet"/>
        <w:keepLines/>
      </w:pPr>
      <w:r>
        <w:t xml:space="preserve">Advanced preparation in adult education, educational leadership, workforce development, public administration, or a related field, inclusive leadership, family partnership, and coaching adults to use evidence effectively.</w:t>
      </w:r>
    </w:p>
    <w:p>
      <w:pPr>
        <w:pStyle w:val="Heading1"/>
        <w:keepNext/>
        <w:pBdr>
          <w:left w:val="single" w:sz="18" w:space="8" w:color="FDAB42"/>
        </w:pBdr>
      </w:pPr>
      <w:r>
        <w:t>Required / Desired Experience</w:t>
      </w:r>
    </w:p>
    <w:p>
      <w:pPr>
        <w:pStyle w:val="Heading2"/>
        <w:keepNext/>
      </w:pPr>
      <w:r>
        <w:t>Required Experience</w:t>
      </w:r>
    </w:p>
    <w:p>
      <w:pPr>
        <w:pStyle w:val="ListBullet"/>
        <w:keepLines/>
      </w:pPr>
      <w:r>
        <w:t xml:space="preserve">Illustrative minimum for local review: five years of successful adult instruction or program administration, accountability, accessible adult services, and interagency partnership; confirm experience thresholds and permitted equivalents.</w:t>
      </w:r>
    </w:p>
    <w:p>
      <w:pPr>
        <w:pStyle w:val="ListBullet"/>
        <w:keepLines/>
      </w:pPr>
      <w:r>
        <w:t xml:space="preserve">Experience supervising assigned staff, coordinating partners, managing resources, and implementing improvement across the assigned portfolio.</w:t>
      </w:r>
    </w:p>
    <w:p>
      <w:pPr>
        <w:pStyle w:val="ListBullet"/>
        <w:keepLines/>
      </w:pPr>
      <w:r>
        <w:t xml:space="preserve">Demonstrated use of adult participation, persistence, learning gains, credentials and transitions to investigate needs, verify records, evaluate action, and explain findings and limitations.</w:t>
      </w:r>
    </w:p>
    <w:p>
      <w:pPr>
        <w:pStyle w:val="Heading2"/>
        <w:keepNext/>
      </w:pPr>
      <w:r>
        <w:t>Desired Experience</w:t>
      </w:r>
    </w:p>
    <w:p>
      <w:pPr>
        <w:pStyle w:val="ListBullet"/>
        <w:keepLines/>
      </w:pPr>
      <w:r>
        <w:t xml:space="preserve">Experience with California district or regional program requirements, implementation monitoring, and improvement with diverse communities.</w:t>
      </w:r>
    </w:p>
    <w:p>
      <w:pPr>
        <w:pStyle w:val="ListBullet"/>
        <w:keepLines/>
      </w:pPr>
      <w:r>
        <w:t xml:space="preserve">Experience with an adult education accountability dashboard, approved spreadsheets and tools such as Excel, Google Sheets, Power BI, Tableau, or equivalents; applied data-science literacy sufficient to collaborate with analysts.</w:t>
      </w:r>
    </w:p>
    <w:p>
      <w:pPr>
        <w:pStyle w:val="Heading1"/>
        <w:keepNext/>
        <w:pBdr>
          <w:left w:val="single" w:sz="18" w:space="8" w:color="FDAB42"/>
        </w:pBdr>
      </w:pPr>
      <w:r>
        <w:t>Essential Duties and Responsibilities</w:t>
      </w:r>
    </w:p>
    <w:p>
      <w:pPr>
        <w:pStyle w:val="Heading2"/>
        <w:keepNext/>
      </w:pPr>
      <w:r>
        <w:t xml:space="preserve">Adult Learning and Partnerships</w:t>
      </w:r>
    </w:p>
    <w:p>
      <w:pPr>
        <w:pStyle w:val="ListBullet"/>
        <w:keepLines/>
      </w:pPr>
      <w:r>
        <w:t xml:space="preserve">Lead assigned adult education instruction, schedules, learning supports, and transitions with teachers, learners, colleges, employers, and consortium partners.</w:t>
      </w:r>
    </w:p>
    <w:p>
      <w:pPr>
        <w:pStyle w:val="ListBullet"/>
        <w:keepLines/>
      </w:pPr>
      <w:r>
        <w:t xml:space="preserve">Support accessible enrollment, language learning, basic skills, diploma or equivalency preparation, and other locally assigned program areas.</w:t>
      </w:r>
    </w:p>
    <w:p>
      <w:pPr>
        <w:pStyle w:val="ListBullet"/>
        <w:keepLines/>
      </w:pPr>
      <w:r>
        <w:t xml:space="preserve">Coordinate learner goals, advising, accommodations, and realistic participation options while respecting adult agency and confidentiality.</w:t>
      </w:r>
    </w:p>
    <w:p>
      <w:pPr>
        <w:pStyle w:val="Heading2"/>
        <w:keepNext/>
      </w:pPr>
      <w:r>
        <w:t xml:space="preserve">Learning and Accountability Evidence</w:t>
      </w:r>
    </w:p>
    <w:p>
      <w:pPr>
        <w:pStyle w:val="ListBullet"/>
        <w:keepLines/>
      </w:pPr>
      <w:r>
        <w:t xml:space="preserve">Validate enrollment, program participation, attendance or instructional hours, assessments, credentials, and transition records under applicable adult-program definitions.</w:t>
      </w:r>
    </w:p>
    <w:p>
      <w:pPr>
        <w:pStyle w:val="ListBullet"/>
        <w:keepLines/>
      </w:pPr>
      <w:r>
        <w:t xml:space="preserve">Analyze persistence, learning gains, credentials, and transitions with appropriate entry cohorts, assessment coverage, and missing-data checks.</w:t>
      </w:r>
    </w:p>
    <w:p>
      <w:pPr>
        <w:pStyle w:val="ListBullet"/>
        <w:keepLines/>
      </w:pPr>
      <w:r>
        <w:t xml:space="preserve">Distinguish verified outcomes from estimates and unmatched records; evaluate access barriers, scheduling, and service delivery before drawing impact conclusions.</w:t>
      </w:r>
    </w:p>
    <w:p>
      <w:pPr>
        <w:pStyle w:val="Heading2"/>
        <w:keepNext/>
      </w:pPr>
      <w:r>
        <w:t xml:space="preserve">Governance and Responsible Records</w:t>
      </w:r>
    </w:p>
    <w:p>
      <w:pPr>
        <w:pStyle w:val="ListBullet"/>
        <w:keepLines/>
      </w:pPr>
      <w:r>
        <w:t xml:space="preserve">Maintain assigned grant, consortium, fiscal, and reporting evidence with current funding-specific requirements and accountable owners.</w:t>
      </w:r>
    </w:p>
    <w:p>
      <w:pPr>
        <w:pStyle w:val="ListBullet"/>
        <w:keepLines/>
      </w:pPr>
      <w:r>
        <w:t xml:space="preserve">Coordinate appropriate teacher and administrator authorizations, adult records, consent, disability access, and data-sharing requirements with responsible specialists.</w:t>
      </w:r>
    </w:p>
    <w:p>
      <w:pPr>
        <w:pStyle w:val="ListBullet"/>
        <w:keepLines/>
      </w:pPr>
      <w:r>
        <w:t xml:space="preserve">Review adult-learning and workforce platforms for identity matching, privacy, accessibility, and human oversight of AI placement and advising.</w:t>
      </w:r>
    </w:p>
    <w:p>
      <w:pPr>
        <w:pStyle w:val="Heading2"/>
        <w:keepNext/>
      </w:pPr>
      <w:r>
        <w:t xml:space="preserve">Leadership and Sustainability</w:t>
      </w:r>
    </w:p>
    <w:p>
      <w:pPr>
        <w:pStyle w:val="ListBullet"/>
        <w:keepLines/>
      </w:pPr>
      <w:r>
        <w:t xml:space="preserve">Supervise assigned staff, contracts, facilities, budgets, and professional learning; align capacity with verified learner demand.</w:t>
      </w:r>
    </w:p>
    <w:p>
      <w:pPr>
        <w:pStyle w:val="ListBullet"/>
        <w:keepLines/>
      </w:pPr>
      <w:r>
        <w:t xml:space="preserve">Use cost, participation, learning, transition, and learner-experience evidence to refine programs and sustain effective partnerships.</w:t>
      </w:r>
    </w:p>
    <w:p>
      <w:pPr>
        <w:pStyle w:val="ListBullet"/>
        <w:keepLines/>
      </w:pPr>
      <w:r>
        <w:t xml:space="preserve">Report verified results, reporting limits and improvement actions and perform related duties within the classification.</w:t>
      </w:r>
    </w:p>
    <w:p>
      <w:pPr>
        <w:pStyle w:val="Heading1"/>
        <w:keepNext/>
        <w:pBdr>
          <w:left w:val="single" w:sz="18" w:space="8" w:color="FDAB42"/>
        </w:pBdr>
      </w:pPr>
      <w:r>
        <w:t>Required Skills and Abilities</w:t>
      </w:r>
    </w:p>
    <w:p>
      <w:pPr>
        <w:pStyle w:val="Heading2"/>
        <w:keepNext/>
      </w:pPr>
      <w:r>
        <w:t>Knowledge of</w:t>
      </w:r>
    </w:p>
    <w:p>
      <w:pPr>
        <w:pStyle w:val="ListBullet"/>
        <w:keepLines/>
      </w:pPr>
      <w:r>
        <w:t xml:space="preserve">Adult learning, language development, basic skills, career transitions, accessible scheduling, and consortium collaboration.</w:t>
      </w:r>
    </w:p>
    <w:p>
      <w:pPr>
        <w:pStyle w:val="ListBullet"/>
        <w:keepLines/>
      </w:pPr>
      <w:r>
        <w:t xml:space="preserve">Applicable adult-program credentials, grants, fiscal and outcome reporting, records, consent, and disability-access requirements.</w:t>
      </w:r>
    </w:p>
    <w:p>
      <w:pPr>
        <w:pStyle w:val="ListBullet"/>
        <w:keepLines/>
      </w:pPr>
      <w:r>
        <w:t xml:space="preserve">Adult participation definitions, assessment coverage, measurable learning, persistence, matching quality, and outcome limits.</w:t>
      </w:r>
    </w:p>
    <w:p>
      <w:pPr>
        <w:pStyle w:val="ListBullet"/>
        <w:keepLines/>
      </w:pPr>
      <w:r>
        <w:t xml:space="preserve">Adult education reporting and learning systems, authorized workforce data exchange, secure dashboards, and responsible AI.</w:t>
      </w:r>
    </w:p>
    <w:p>
      <w:pPr>
        <w:pStyle w:val="Heading2"/>
        <w:keepNext/>
      </w:pPr>
      <w:r>
        <w:t>Ability to</w:t>
      </w:r>
    </w:p>
    <w:p>
      <w:pPr>
        <w:pStyle w:val="ListBullet"/>
        <w:keepLines/>
      </w:pPr>
      <w:r>
        <w:t xml:space="preserve">Translate priorities in district adult education programs, instructional quality, access, consortium partnerships, and assigned adult-learning accountability and resources into feasible plans, clear responsibilities and measurable follow-through.</w:t>
      </w:r>
    </w:p>
    <w:p>
      <w:pPr>
        <w:pStyle w:val="ListBullet"/>
        <w:keepLines/>
      </w:pPr>
      <w:r>
        <w:t xml:space="preserve">Validate adult participation, persistence, learning gains, credentials and transitions using accurate sources, definitions, populations and denominators before making decisions.</w:t>
      </w:r>
    </w:p>
    <w:p>
      <w:pPr>
        <w:pStyle w:val="ListBullet"/>
        <w:keepLines/>
      </w:pPr>
      <w:r>
        <w:t xml:space="preserve">Evaluate implementation and outcomes, examine subgroup opportunity, and distinguish association from causation with qualified analytical support.</w:t>
      </w:r>
    </w:p>
    <w:p>
      <w:pPr>
        <w:pStyle w:val="ListBullet"/>
        <w:keepLines/>
      </w:pPr>
      <w:r>
        <w:t xml:space="preserve">Use approved modern systems and accessible visualizations; partner with data specialists on complex linkage, statistical methods or reproducible analysis.</w:t>
      </w:r>
    </w:p>
    <w:p>
      <w:pPr>
        <w:pStyle w:val="ListBullet"/>
        <w:keepLines/>
      </w:pPr>
      <w:r>
        <w:t xml:space="preserve">Protect confidential information, document consequential decisions, maintain professional judgment and escalate unresolved legal or policy questions.</w:t>
      </w:r>
    </w:p>
    <w:p>
      <w:pPr>
        <w:pStyle w:val="ListBullet"/>
        <w:keepLines/>
      </w:pPr>
      <w:r>
        <w:t xml:space="preserve">Lead staff and partnerships, communicate evidence and uncertainty clearly, and revise ineffective practices with affected communities.</w:t>
      </w:r>
    </w:p>
    <w:p>
      <w:pPr>
        <w:pStyle w:val="Heading1"/>
        <w:keepNext/>
        <w:pBdr>
          <w:left w:val="single" w:sz="18" w:space="8" w:color="FDAB42"/>
        </w:pBdr>
      </w:pPr>
      <w:r>
        <w:t>Work Environment</w:t>
      </w:r>
    </w:p>
    <w:p>
      <w:pPr>
        <w:pStyle w:val="ListBullet"/>
        <w:keepLines/>
      </w:pPr>
      <w:r>
        <w:t xml:space="preserve">Work is performed in district offices, classrooms, school grounds, meeting rooms, and other professional settings, with remote participation as authorized.</w:t>
      </w:r>
    </w:p>
    <w:p>
      <w:pPr>
        <w:pStyle w:val="ListBullet"/>
        <w:keepLines/>
      </w:pPr>
      <w:r>
        <w:t xml:space="preserve">The position involves computer use, school visits, observation, facilitation, and detailed review of records, dashboards, assessments, reports, and communications.</w:t>
      </w:r>
    </w:p>
    <w:p>
      <w:pPr>
        <w:pStyle w:val="ListBullet"/>
        <w:keepLines/>
      </w:pPr>
      <w:r>
        <w:t xml:space="preserve">Work requires frequent coordination with school and district leaders, program specialists, students and families as appropriate, data and technology teams, fiscal and legal owners, and external partners.</w:t>
      </w:r>
    </w:p>
    <w:p>
      <w:pPr>
        <w:pStyle w:val="ListBullet"/>
        <w:keepLines/>
      </w:pPr>
      <w:r>
        <w:t xml:space="preserve">The employee encounters interruptions, competing priorities, sensitive student and personnel matters, and urgent concerns requiring calm, documented judgment.</w:t>
      </w:r>
    </w:p>
    <w:p>
      <w:pPr>
        <w:pStyle w:val="ListBullet"/>
        <w:keepLines/>
      </w:pPr>
      <w:r>
        <w:t xml:space="preserve">Workload may increase during planning and budget cycles, program transitions, monitoring and reporting reviews, public meetings, and urgent service concerns.</w:t>
      </w:r>
    </w:p>
    <w:p>
      <w:pPr>
        <w:pStyle w:val="Heading1"/>
        <w:keepNext/>
        <w:pBdr>
          <w:left w:val="single" w:sz="18" w:space="8" w:color="FDAB42"/>
        </w:pBdr>
      </w:pPr>
      <w:r>
        <w:t>Other Requirements</w:t>
      </w:r>
    </w:p>
    <w:p>
      <w:pPr>
        <w:pStyle w:val="ListBullet"/>
        <w:keepLines/>
      </w:pPr>
      <w:r>
        <w:t xml:space="preserve">Successfully complete required criminal-record, fingerprint, and employment clearances.</w:t>
      </w:r>
    </w:p>
    <w:p>
      <w:pPr>
        <w:pStyle w:val="ListBullet"/>
        <w:keepLines/>
      </w:pPr>
      <w:r>
        <w:t xml:space="preserve">Complete a tuberculosis risk assessment and any examination required by applicable law or district policy.</w:t>
      </w:r>
    </w:p>
    <w:p>
      <w:pPr>
        <w:pStyle w:val="ListBullet"/>
        <w:keepLines/>
      </w:pPr>
      <w:r>
        <w:t xml:space="preserve">Maintain required credentials and complete district-assigned training in privacy, cybersecurity, accessibility, nondiscrimination, mandated reporting, and workplace safety.</w:t>
      </w:r>
    </w:p>
    <w:p>
      <w:pPr>
        <w:pStyle w:val="ListBullet"/>
        <w:keepLines/>
      </w:pPr>
      <w:r>
        <w:t xml:space="preserve">Protect confidential student and employee records; follow approved access, sharing, retention, incident-reporting, and records-request procedures.</w:t>
      </w:r>
    </w:p>
    <w:p>
      <w:pPr>
        <w:pStyle w:val="ListBullet"/>
        <w:keepLines/>
      </w:pPr>
      <w:r>
        <w:t xml:space="preserve">Travel between district offices, schools, professional-learning locations, and community meetings as assigned.</w:t>
      </w:r>
    </w:p>
    <w:p>
      <w:pPr>
        <w:pStyle w:val="ListBullet"/>
        <w:keepLines/>
      </w:pPr>
      <w:r>
        <w:t xml:space="preserve">Possess a valid California driver's license and maintain insurability when driving is an essential function; confirm the district's actual travel requirements.</w:t>
      </w:r>
    </w:p>
    <w:p>
      <w:pPr>
        <w:pStyle w:val="ListBullet"/>
        <w:keepLines/>
      </w:pPr>
      <w:r>
        <w:t xml:space="preserve">Occasionally work evenings, weekends, or extended hours for school events, public meetings, reporting deadlines, or urgent student and operational matters.</w:t>
      </w:r>
    </w:p>
    <w:p>
      <w:pPr>
        <w:pStyle w:val="ListBullet"/>
        <w:keepLines/>
      </w:pPr>
      <w:r>
        <w:t xml:space="preserve">Perform office and school-based activities involving sitting, standing, walking, communication, and computer use; confirm any role-specific lifting or other physical requirements through local job analysis.</w:t>
      </w:r>
    </w:p>
    <w:p>
      <w:pPr>
        <w:pStyle w:val="ListBullet"/>
        <w:keepLines/>
      </w:pPr>
      <w:r>
        <w:t xml:space="preserve">Perform the essential functions of the position with or without reasonable accommodation.</w:t>
      </w:r>
    </w:p>
    <w:p>
      <w:pPr>
        <w:pStyle w:val="Heading1"/>
        <w:keepNext/>
        <w:pageBreakBefore/>
        <w:pBdr>
          <w:left w:val="single" w:sz="18" w:space="8" w:color="FDAB42"/>
        </w:pBdr>
      </w:pPr>
      <w:r>
        <w:t>Document Control and Local Adoption</w:t>
      </w:r>
    </w:p>
    <w:tbl>
      <w:tblPr>
        <w:tblStyle w:val="TableGrid"/>
        <w:tblW w:type="dxa" w:w="9360"/>
        <w:jc w:val="left"/>
        <w:tblLayout w:type="fixed"/>
        <w:tblLook w:firstColumn="1" w:firstRow="1" w:lastColumn="0" w:lastRow="0" w:noHBand="0" w:noVBand="1" w:val="04A0"/>
        <w:tblInd w:w="0" w:type="dxa"/>
      </w:tblPr>
      <w:tblGrid>
        <w:gridCol w:w="2520"/>
        <w:gridCol w:w="6840"/>
      </w:tblGrid>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Governing Board Approval Date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Effective Date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Last Revision Date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Human Resources Review Date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Job Description Number</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number</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Salary Schedule Reference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schedule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Governing Policy Reference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applicable policy</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Collective Bargaining Reference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if applicable</w:t>
            </w:r>
          </w:p>
        </w:tc>
      </w:tr>
    </w:tbl>
    <w:p>
      <w:pPr>
        <w:keepLines/>
        <w:spacing w:before="120" w:after="160"/>
        <w:ind w:left="230" w:right="115"/>
        <w:pBdr>
          <w:left w:val="single" w:sz="18" w:space="8" w:color="FDAB42"/>
        </w:pBdr>
        <w:shd w:fill="F4F5F6"/>
      </w:pPr>
      <w:r>
        <w:rPr>
          <w:rFonts w:ascii="Aptos" w:hAnsi="Aptos"/>
          <w:b/>
          <w:color w:val="315F74"/>
          <w:sz w:val="19"/>
        </w:rPr>
        <w:t xml:space="preserve">LOCAL ADAPTATION REQUIRED. </w:t>
      </w:r>
      <w:r>
        <w:rPr>
          <w:rFonts w:ascii="Aptos" w:hAnsi="Aptos"/>
          <w:color w:val="66747A"/>
          <w:sz w:val="19"/>
        </w:rPr>
        <w:t>This description identifies the general nature and principal responsibilities of the position. The employing district should identify the position's actual essential functions and revise all requirements to reflect its operations, board policies, collective bargaining agreements, and applicable laws. Local human-resources and legal review is recommended before formal adoption.</w:t>
      </w:r>
    </w:p>
    <w:p>
      <w:pPr>
        <w:keepLines/>
        <w:spacing w:before="120" w:after="160"/>
        <w:ind w:left="230" w:right="115"/>
        <w:pBdr>
          <w:left w:val="single" w:sz="18" w:space="8" w:color="315F74"/>
        </w:pBdr>
        <w:shd w:fill="EAF3F7"/>
      </w:pPr>
      <w:r>
        <w:rPr>
          <w:rFonts w:ascii="Aptos" w:hAnsi="Aptos"/>
          <w:b/>
          <w:color w:val="315F74"/>
          <w:sz w:val="19"/>
        </w:rPr>
        <w:t xml:space="preserve">SDLA EXEMPLAR AND USE NOTICE. </w:t>
      </w:r>
      <w:r>
        <w:rPr>
          <w:rFonts w:ascii="Aptos" w:hAnsi="Aptos"/>
          <w:color w:val="66747A"/>
          <w:sz w:val="19"/>
        </w:rPr>
        <w:t>This exemplar Director of Adult Education job description is provided as a free resource for school districts by the School Data Leadership Association. It is an educational reference template, not an employment announcement or recruitment by SDLA. It is intended as a customizable starting point and does not constitute legal, human-resources, employment, or regulatory advice. SDLA makes no representations regarding its accuracy, completeness, currency, or suitability for a particular organization, position, or jurisdiction. School districts are welcome to use and adapt it.</w:t>
      </w:r>
    </w:p>
    <w:sectPr w:rsidR="00C7230F" w:rsidSect="00034616">
      <w:headerReference w:type="default" r:id="rId8"/>
      <w:footerReference w:type="default" r:id="rId9"/>
      <w:headerReference w:type="even" r:id="rId12"/>
      <w:footerReference w:type="even" r:id="rId13"/>
      <w:pgSz w:w="12240" w:h="15840"/>
      <w:pgMar w:top="1123" w:right="1296" w:bottom="1123" w:left="1296" w:header="504"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C6A1A43" w14:textId="77777777" w:rsidR="00A91A23" w:rsidRDefault="00A91A23">
      <w:pPr>
        <w:spacing w:after="0" w:line="240" w:lineRule="auto"/>
      </w:pPr>
      <w:r>
        <w:separator/>
      </w:r>
    </w:p>
  </w:endnote>
  <w:endnote w:type="continuationSeparator" w:id="0">
    <w:p w14:paraId="4DE04C61" w14:textId="77777777" w:rsidR="00A91A23" w:rsidRDefault="00A91A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F965A5" w14:textId="77777777" w:rsidR="00C7230F" w:rsidRDefault="00000000">
    <w:pPr>
      <w:pStyle w:val="Footer"/>
      <w:spacing w:before="0"/>
      <w:jc w:val="center"/>
    </w:pPr>
    <w:r>
      <w:rPr>
        <w:rFonts w:ascii="Aptos" w:hAnsi="Aptos"/>
        <w:color w:val="66747A"/>
        <w:sz w:val="16"/>
      </w:rPr>
      <w:t>Reference resource - not a job posting  |  schooldataleadership.org</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jc w:val="center"/>
    </w:pPr>
    <w:r>
      <w:rPr>
        <w:rFonts w:ascii="Aptos" w:hAnsi="Aptos"/>
        <w:color w:val="66747A"/>
        <w:sz w:val="16"/>
      </w:rPr>
      <w:t>Reference resource - not a job posting  |  schooldataleadership.org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BC6EB3B" w14:textId="77777777" w:rsidR="00A91A23" w:rsidRDefault="00A91A23">
      <w:pPr>
        <w:spacing w:after="0" w:line="240" w:lineRule="auto"/>
      </w:pPr>
      <w:r>
        <w:separator/>
      </w:r>
    </w:p>
  </w:footnote>
  <w:footnote w:type="continuationSeparator" w:id="0">
    <w:p w14:paraId="7FF97964" w14:textId="77777777" w:rsidR="00A91A23" w:rsidRDefault="00A91A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F902A1" w14:textId="77777777" w:rsidR="00C7230F" w:rsidRDefault="00000000">
    <w:pPr>
      <w:pStyle w:val="Header"/>
      <w:spacing w:after="0"/>
      <w:jc w:val="right"/>
    </w:pPr>
    <w:r>
      <w:rPr>
        <w:rFonts w:ascii="Aptos" w:hAnsi="Aptos"/>
        <w:b/>
        <w:color w:val="66747A"/>
        <w:sz w:val="17"/>
      </w:rPr>
      <w:t>SCHOOL DATA LEADERSHIP ASSOCIATION  |  EXAMPLE JOB DESCRIPTION</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Pr>
    <w:r>
      <w:rPr>
        <w:rFonts w:ascii="Aptos" w:hAnsi="Aptos"/>
        <w:b/>
        <w:color w:val="66747A"/>
        <w:sz w:val="17"/>
      </w:rPr>
      <w:t>SCHOOL DATA LEADERSHIP ASSOCIATION  |  EXAMPLE JOB DESCRIPTION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42109458">
    <w:abstractNumId w:val="8"/>
  </w:num>
  <w:num w:numId="2" w16cid:durableId="1224675748">
    <w:abstractNumId w:val="6"/>
  </w:num>
  <w:num w:numId="3" w16cid:durableId="1091858067">
    <w:abstractNumId w:val="5"/>
  </w:num>
  <w:num w:numId="4" w16cid:durableId="633681223">
    <w:abstractNumId w:val="4"/>
  </w:num>
  <w:num w:numId="5" w16cid:durableId="1070032234">
    <w:abstractNumId w:val="7"/>
  </w:num>
  <w:num w:numId="6" w16cid:durableId="1834876961">
    <w:abstractNumId w:val="3"/>
  </w:num>
  <w:num w:numId="7" w16cid:durableId="107553760">
    <w:abstractNumId w:val="2"/>
  </w:num>
  <w:num w:numId="8" w16cid:durableId="941649264">
    <w:abstractNumId w:val="1"/>
  </w:num>
  <w:num w:numId="9" w16cid:durableId="102479284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1"/>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4DE1"/>
    <w:rsid w:val="00034616"/>
    <w:rsid w:val="0006063C"/>
    <w:rsid w:val="0015074B"/>
    <w:rsid w:val="0029639D"/>
    <w:rsid w:val="00326F90"/>
    <w:rsid w:val="008271F0"/>
    <w:rsid w:val="00A91A23"/>
    <w:rsid w:val="00AA1D8D"/>
    <w:rsid w:val="00B47730"/>
    <w:rsid w:val="00BB56FD"/>
    <w:rsid w:val="00C7230F"/>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C6306BF"/>
  <w14:defaultImageDpi w14:val="300"/>
  <w15:docId w15:val="{0B011544-D1D3-5142-AEDD-E4317B6AA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64" w:lineRule="auto"/>
    </w:pPr>
    <w:rPr>
      <w:rFonts w:ascii="Aptos" w:hAnsi="Aptos"/>
      <w:color w:val="26383F"/>
      <w:sz w:val="21"/>
    </w:rPr>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Aptos Display" w:hAnsi="Aptos Display"/>
      <w:b/>
      <w:bCs/>
      <w:color w:val="315F74"/>
      <w:sz w:val="32"/>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ascii="Aptos Display" w:hAnsi="Aptos Display"/>
      <w:b/>
      <w:bCs/>
      <w:color w:val="315F74"/>
      <w:sz w:val="24"/>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b/>
      <w:bCs/>
      <w:color w:val="244A5C"/>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54" w:lineRule="auto"/>
      <w:ind w:left="490" w:hanging="259"/>
      <w:contextualSpacing/>
    </w:pPr>
    <w:rPr>
      <w:rFonts w:ascii="Aptos" w:hAnsi="Aptos"/>
      <w:color w:val="26383F"/>
      <w:sz w:val="2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2" Type="http://schemas.openxmlformats.org/officeDocument/2006/relationships/header" Target="header2.xml"/><Relationship Id="rId13"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1667</Words>
  <Characters>9504</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11149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Director of Adult Education</dc:title>
  <dc:subject>Customizable school district Director of Data and Analytics job description</dc:subject>
  <dc:creator>School Data Leadership Association</dc:creator>
  <cp:keywords>Director of Data and Analytics, example job description, SDLA</cp:keywords>
  <dc:description>Reference resource; not a job posting. Review and adapt locally before adoption.</dc:description>
  <cp:lastModifiedBy>Chris Moggia</cp:lastModifiedBy>
  <cp:revision>2</cp:revision>
  <dcterms:created xsi:type="dcterms:W3CDTF">2026-08-15T21:45:00Z</dcterms:created>
  <dcterms:modified xsi:type="dcterms:W3CDTF">2026-08-15T21:45:00Z</dcterms:modified>
  <cp:category/>
</cp:coreProperties>
</file>