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Digital Learning Specialist</w:t>
      </w:r>
    </w:p>
    <w:p>
      <w:pPr>
        <w:spacing w:after="240"/>
      </w:pPr>
      <w:r>
        <w:rPr>
          <w:rFonts w:ascii="Aptos" w:hAnsi="Aptos"/>
          <w:b/>
          <w:color w:val="66747A"/>
          <w:sz w:val="24"/>
        </w:rPr>
        <w:t>Instructional Design, Educator Support, and Inclusive Digital Practice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Digital Learning Specialist provides coaching, professional learning, resource development, and implementation support for effective digital teaching and learning.</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curriculum, instruction, digital learning, or educational-technology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education, instructional design, educational technology, or a related field.</w:t>
      </w:r>
    </w:p>
    <w:p>
      <w:pPr>
        <w:pStyle w:val="ListBullet"/>
        <w:keepLines/>
      </w:pPr>
      <w:r>
        <w:t>Valid California teaching credential or other credential appropriate to the assignment.</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classroom teaching and demonstrated skill integrating digital resources into standards-aligned instruction.</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coaching adults, designing online or blended learning, supporting accessibility, learning-management systems, media literacy, and emerging technologies.</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Instructional Design and Coaching</w:t>
      </w:r>
    </w:p>
    <w:p>
      <w:pPr>
        <w:pStyle w:val="ListBullet"/>
        <w:keepLines/>
      </w:pPr>
      <w:r>
        <w:t>Coach educators in planning, facilitating, assessing, and improving accessible digital and blended learning experiences.</w:t>
      </w:r>
    </w:p>
    <w:p>
      <w:pPr>
        <w:pStyle w:val="ListBullet"/>
        <w:keepLines/>
      </w:pPr>
      <w:r>
        <w:t>Model lessons, co-teach, observe implementation, and provide actionable non-evaluative feedback.</w:t>
      </w:r>
    </w:p>
    <w:p>
      <w:pPr>
        <w:pStyle w:val="ListBullet"/>
        <w:keepLines/>
      </w:pPr>
      <w:r>
        <w:t>Help educators select strategies and resources based on learning goals, student needs, and evidence rather than novelty.</w:t>
      </w:r>
    </w:p>
    <w:p>
      <w:pPr>
        <w:pStyle w:val="Heading2"/>
        <w:keepNext/>
      </w:pPr>
      <w:r>
        <w:t>Professional Learning and Resources</w:t>
      </w:r>
    </w:p>
    <w:p>
      <w:pPr>
        <w:pStyle w:val="ListBullet"/>
        <w:keepLines/>
      </w:pPr>
      <w:r>
        <w:t>Design sustained, role-specific professional learning, workshops, office hours, communities of practice, and self-service resources.</w:t>
      </w:r>
    </w:p>
    <w:p>
      <w:pPr>
        <w:pStyle w:val="ListBullet"/>
        <w:keepLines/>
      </w:pPr>
      <w:r>
        <w:t>Develop exemplars for digital workflow, feedback, collaboration, creation, research, media literacy, accessibility, and responsible AI.</w:t>
      </w:r>
    </w:p>
    <w:p>
      <w:pPr>
        <w:pStyle w:val="ListBullet"/>
        <w:keepLines/>
      </w:pPr>
      <w:r>
        <w:t>Support onboarding and transitions for educators, substitutes, students, families, and support employees.</w:t>
      </w:r>
    </w:p>
    <w:p>
      <w:pPr>
        <w:pStyle w:val="Heading2"/>
        <w:keepNext/>
      </w:pPr>
      <w:r>
        <w:t>Access and Responsible Practice</w:t>
      </w:r>
    </w:p>
    <w:p>
      <w:pPr>
        <w:pStyle w:val="ListBullet"/>
        <w:keepLines/>
      </w:pPr>
      <w:r>
        <w:t>Identify barriers involving disability access, language, devices, connectivity, navigation, credentials, scheduling, and technical support.</w:t>
      </w:r>
    </w:p>
    <w:p>
      <w:pPr>
        <w:pStyle w:val="ListBullet"/>
        <w:keepLines/>
      </w:pPr>
      <w:r>
        <w:t>Promote privacy-aware, secure, ethical, age-appropriate, and copyright-compliant use of digital resources.</w:t>
      </w:r>
    </w:p>
    <w:p>
      <w:pPr>
        <w:pStyle w:val="ListBullet"/>
        <w:keepLines/>
      </w:pPr>
      <w:r>
        <w:t>Escalate accessibility, privacy, security, curriculum, or safety concerns through established district processes.</w:t>
      </w:r>
    </w:p>
    <w:p>
      <w:pPr>
        <w:pStyle w:val="Heading2"/>
        <w:keepNext/>
      </w:pPr>
      <w:r>
        <w:t>Implementation and Improvement</w:t>
      </w:r>
    </w:p>
    <w:p>
      <w:pPr>
        <w:pStyle w:val="ListBullet"/>
        <w:keepLines/>
      </w:pPr>
      <w:r>
        <w:t>Gather classroom evidence and user feedback; analyze participation and outcomes without equating screen time with learning.</w:t>
      </w:r>
    </w:p>
    <w:p>
      <w:pPr>
        <w:pStyle w:val="ListBullet"/>
        <w:keepLines/>
      </w:pPr>
      <w:r>
        <w:t>Coordinate with curriculum, special programs, libraries, assessment, technology, and site leadership.</w:t>
      </w:r>
    </w:p>
    <w:p>
      <w:pPr>
        <w:pStyle w:val="ListBullet"/>
        <w:keepLines/>
      </w:pPr>
      <w:r>
        <w:t>Document effective practices, recurring needs, unresolved risks, and continuity resources;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Standards-aligned instruction, formative assessment, feedback, differentiation, Universal Design for Learning, accessibility, and culturally responsive practice</w:t>
      </w:r>
    </w:p>
    <w:p>
      <w:pPr>
        <w:pStyle w:val="ListBullet"/>
        <w:keepLines/>
      </w:pPr>
      <w:r>
        <w:t>Digital learning design, synchronous and asynchronous methods, learning-management systems, multimedia, collaboration, media literacy, and responsible AI</w:t>
      </w:r>
    </w:p>
    <w:p>
      <w:pPr>
        <w:pStyle w:val="ListBullet"/>
        <w:keepLines/>
      </w:pPr>
      <w:r>
        <w:t>Student privacy, cybersecurity, copyright, acceptable use, digital citizenship, and age-appropriate technology use</w:t>
      </w:r>
    </w:p>
    <w:p>
      <w:pPr>
        <w:pStyle w:val="ListBullet"/>
        <w:keepLines/>
      </w:pPr>
      <w:r>
        <w:t>Coaching, adult learning, facilitation, demonstration lessons, communities of practice, and implementation improvement</w:t>
      </w:r>
    </w:p>
    <w:p>
      <w:pPr>
        <w:pStyle w:val="Heading2"/>
        <w:keepNext/>
      </w:pPr>
      <w:r>
        <w:t>Ability to</w:t>
      </w:r>
    </w:p>
    <w:p>
      <w:pPr>
        <w:pStyle w:val="ListBullet"/>
        <w:keepLines/>
      </w:pPr>
      <w:r>
        <w:t>Co-plan and model learning experiences that use technology only where it improves access, feedback, creation, collaboration, or understanding</w:t>
      </w:r>
    </w:p>
    <w:p>
      <w:pPr>
        <w:pStyle w:val="ListBullet"/>
        <w:keepLines/>
      </w:pPr>
      <w:r>
        <w:t>Build educator confidence through respectful, non-evaluative coaching and practical classroom support</w:t>
      </w:r>
    </w:p>
    <w:p>
      <w:pPr>
        <w:pStyle w:val="ListBullet"/>
        <w:keepLines/>
      </w:pPr>
      <w:r>
        <w:t>Adapt guidance for grade level, content area, language, disability access, student independence, and local context</w:t>
      </w:r>
    </w:p>
    <w:p>
      <w:pPr>
        <w:pStyle w:val="ListBullet"/>
        <w:keepLines/>
      </w:pPr>
      <w:r>
        <w:t>Troubleshoot instructional workflow while routing technical or policy decisions to authorized owners</w:t>
      </w:r>
    </w:p>
    <w:p>
      <w:pPr>
        <w:pStyle w:val="ListBullet"/>
        <w:keepLines/>
      </w:pPr>
      <w:r>
        <w:t>Create concise tutorials, exemplars, templates, and family-facing explanations</w:t>
      </w:r>
    </w:p>
    <w:p>
      <w:pPr>
        <w:pStyle w:val="ListBullet"/>
        <w:keepLines/>
      </w:pPr>
      <w:r>
        <w:t>Assess whether changed practice improves learning and reduces inequitable barriers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coaches, librarians, special-program staff, site leaders, and technology support teams.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Digital Learning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Digital Learning Specialist</dc:title>
  <dc:subject>Customizable school district Digital Learning Specialist job description</dc:subject>
  <dc:creator>School Data Leadership Association</dc:creator>
  <cp:keywords>Digital Learning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