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Coordinator of Title IX and Compliance</w:t>
      </w:r>
    </w:p>
    <w:p>
      <w:pPr>
        <w:spacing w:after="240"/>
      </w:pPr>
      <w:r>
        <w:rPr>
          <w:rFonts w:ascii="Aptos" w:hAnsi="Aptos"/>
          <w:b/>
          <w:color w:val="66747A"/>
          <w:sz w:val="24"/>
        </w:rPr>
        <w:t xml:space="preserve">Procedural Integrity and Confidential Case Evidence</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Management — classification to be determined by local duty review</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Coordinator of Title IX and Compliance leads assigned Title IX coordination, related compliance processes, training, case administration, and systemic prevention. The district or employing agency should define the final portfolio, delegated authority, and relationships with other program owners.</w:t>
      </w:r>
    </w:p>
    <w:p>
      <w:r>
        <w:t xml:space="preserve">The position maintains accurate, confidential case evidence and reliable procedural tracking; reviews patterns for prevention while preserving impartiality, due process, role separation, and authorized legal interpretation.</w:t>
      </w:r>
    </w:p>
    <w:p>
      <w:pPr>
        <w:pStyle w:val="Heading1"/>
        <w:keepNext/>
        <w:pBdr>
          <w:left w:val="single" w:sz="18" w:space="8" w:color="FDAB42"/>
        </w:pBdr>
      </w:pPr>
      <w:r>
        <w:t>Reports To</w:t>
      </w:r>
    </w:p>
    <w:p>
      <w:r>
        <w:rPr>
          <w:rFonts w:ascii="Aptos" w:hAnsi="Aptos"/>
          <w:i/>
          <w:color w:val="66747A"/>
        </w:rPr>
        <w:t xml:space="preserve">Illustrative reporting relationship: Superintendent, designated compliance executive, or other locally approved authority.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bachelor's degree in law, public administration, education, human resources, civil rights, or a related field; confirm degree requirements and permitted equivalents. A relevant graduate degree may be preferred.</w:t>
      </w:r>
    </w:p>
    <w:p>
      <w:pPr>
        <w:pStyle w:val="ListBullet"/>
        <w:keepLines/>
      </w:pPr>
      <w:r>
        <w:t xml:space="preserve">Hold any license, credential, or authorization required by the final assigned duties. Do not assume an Administrative Services Credential or law license is required solely because of the title; HR and counsel must verify the actual assignment.</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law, public administration, education, human resources, civil rights,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three years of successful civil-rights compliance, complaint coordination, impartial case administration, and training in an educational or comparable setting;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reporting access, procedural timeliness, case completeness and authorized follow-through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confidential compliance case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Coordination and Accessible Reporting</w:t>
      </w:r>
    </w:p>
    <w:p>
      <w:pPr>
        <w:pStyle w:val="ListBullet"/>
        <w:keepLines/>
      </w:pPr>
      <w:r>
        <w:t xml:space="preserve">Coordinate assigned Title IX procedures, accessible reporting channels, notices, supportive measures, and referrals under currently applicable rules.</w:t>
      </w:r>
    </w:p>
    <w:p>
      <w:pPr>
        <w:pStyle w:val="ListBullet"/>
        <w:keepLines/>
      </w:pPr>
      <w:r>
        <w:t xml:space="preserve">Clarify coordinator, investigator, decision-maker, appeal, HR, and legal roles; maintain required separation, training, and conflict review.</w:t>
      </w:r>
    </w:p>
    <w:p>
      <w:pPr>
        <w:pStyle w:val="ListBullet"/>
        <w:keepLines/>
      </w:pPr>
      <w:r>
        <w:t xml:space="preserve">Provide staff and community learning on reporting, retaliation prevention, respectful response, and access to district processes.</w:t>
      </w:r>
    </w:p>
    <w:p>
      <w:pPr>
        <w:pStyle w:val="Heading2"/>
        <w:keepNext/>
      </w:pPr>
      <w:r>
        <w:t xml:space="preserve">Case Evidence and Procedural Tracking</w:t>
      </w:r>
    </w:p>
    <w:p>
      <w:pPr>
        <w:pStyle w:val="ListBullet"/>
        <w:keepLines/>
      </w:pPr>
      <w:r>
        <w:t xml:space="preserve">Maintain secure case intake, jurisdiction review, notices, actions, evidence logs, deadlines, and disposition records with controlled access.</w:t>
      </w:r>
    </w:p>
    <w:p>
      <w:pPr>
        <w:pStyle w:val="ListBullet"/>
        <w:keepLines/>
      </w:pPr>
      <w:r>
        <w:t xml:space="preserve">Verify completeness and chronology without prejudging credibility or outcomes; document extensions, handoffs, and required communications.</w:t>
      </w:r>
    </w:p>
    <w:p>
      <w:pPr>
        <w:pStyle w:val="ListBullet"/>
        <w:keepLines/>
      </w:pPr>
      <w:r>
        <w:t xml:space="preserve">Analyze aggregate access, timeliness, repeat concerns, and implementation patterns with small-cell protections; avoid quotas for findings or case closure.</w:t>
      </w:r>
    </w:p>
    <w:p>
      <w:pPr>
        <w:pStyle w:val="Heading2"/>
        <w:keepNext/>
      </w:pPr>
      <w:r>
        <w:t xml:space="preserve">Legal Review and Information Stewardship</w:t>
      </w:r>
    </w:p>
    <w:p>
      <w:pPr>
        <w:pStyle w:val="ListBullet"/>
        <w:keepLines/>
      </w:pPr>
      <w:r>
        <w:t xml:space="preserve">Verify governing federal and California requirements, court-order effects, effective dates, and district procedures with counsel before consequential procedural changes.</w:t>
      </w:r>
    </w:p>
    <w:p>
      <w:pPr>
        <w:pStyle w:val="ListBullet"/>
        <w:keepLines/>
      </w:pPr>
      <w:r>
        <w:t xml:space="preserve">Coordinate confidential records, preservation, disclosure, retention, and public-record requests with responsible legal and records owners.</w:t>
      </w:r>
    </w:p>
    <w:p>
      <w:pPr>
        <w:pStyle w:val="ListBullet"/>
        <w:keepLines/>
      </w:pPr>
      <w:r>
        <w:t xml:space="preserve">Review case-management, transcription, and AI tools for confidentiality, accuracy, fairness, and human verification; prohibit automated credibility or responsibility determinations.</w:t>
      </w:r>
    </w:p>
    <w:p>
      <w:pPr>
        <w:pStyle w:val="Heading2"/>
        <w:keepNext/>
      </w:pPr>
      <w:r>
        <w:t xml:space="preserve">Prevention and Accountability</w:t>
      </w:r>
    </w:p>
    <w:p>
      <w:pPr>
        <w:pStyle w:val="ListBullet"/>
        <w:keepLines/>
      </w:pPr>
      <w:r>
        <w:t xml:space="preserve">Coordinate assigned training, policy review, and corrective commitments with schools and departments while preserving impartial case processes.</w:t>
      </w:r>
    </w:p>
    <w:p>
      <w:pPr>
        <w:pStyle w:val="ListBullet"/>
        <w:keepLines/>
      </w:pPr>
      <w:r>
        <w:t xml:space="preserve">Check whether supportive measures and remedies are implemented as authorized, accessible, and responsive; escalate unresolved concerns appropriately.</w:t>
      </w:r>
    </w:p>
    <w:p>
      <w:pPr>
        <w:pStyle w:val="ListBullet"/>
        <w:keepLines/>
      </w:pPr>
      <w:r>
        <w:t xml:space="preserve">Report protected aggregate trends and process risks to authorized leaders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Title IX coordination, impartial process administration, accessible reporting, supportive response, and retaliation prevention.</w:t>
      </w:r>
    </w:p>
    <w:p>
      <w:pPr>
        <w:pStyle w:val="ListBullet"/>
        <w:keepLines/>
      </w:pPr>
      <w:r>
        <w:t xml:space="preserve">Currently applicable federal and California civil-rights procedures, role conflicts, records, due process, and legal-review boundaries.</w:t>
      </w:r>
    </w:p>
    <w:p>
      <w:pPr>
        <w:pStyle w:val="ListBullet"/>
        <w:keepLines/>
      </w:pPr>
      <w:r>
        <w:t xml:space="preserve">Case chronology, completeness, timeliness, small-cell disclosure, reporting propensity, and limits of aggregate complaint statistics.</w:t>
      </w:r>
    </w:p>
    <w:p>
      <w:pPr>
        <w:pStyle w:val="ListBullet"/>
        <w:keepLines/>
      </w:pPr>
      <w:r>
        <w:t xml:space="preserve">Secure case-management systems, evidence integrity, access logging, preservation controls, and responsible AI review.</w:t>
      </w:r>
    </w:p>
    <w:p>
      <w:pPr>
        <w:pStyle w:val="Heading2"/>
        <w:keepNext/>
      </w:pPr>
      <w:r>
        <w:t>Ability to</w:t>
      </w:r>
    </w:p>
    <w:p>
      <w:pPr>
        <w:pStyle w:val="ListBullet"/>
        <w:keepLines/>
      </w:pPr>
      <w:r>
        <w:t xml:space="preserve">Translate priorities in assigned Title IX coordination, related compliance processes, training, case administration, and systemic prevention into feasible plans, clear responsibilities and measurable follow-through.</w:t>
      </w:r>
    </w:p>
    <w:p>
      <w:pPr>
        <w:pStyle w:val="ListBullet"/>
        <w:keepLines/>
      </w:pPr>
      <w:r>
        <w:t xml:space="preserve">Validate reporting access, procedural timeliness, case completeness and authorized follow-through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Coordinator of Title IX and Compliance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Coordinator of Title IX and Compliance</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