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pPr>
        <w:spacing w:after="80"/>
      </w:pPr>
      <w:r>
        <w:t>EXAMPLE JOB DESCRIPTION</w:t>
      </w:r>
    </w:p>
    <w:p>
      <w:pPr>
        <w:pStyle w:val="Title"/>
        <w:spacing w:after="100"/>
      </w:pPr>
      <w:r>
        <w:t>Assessment and Accountability Coordinator</w:t>
      </w:r>
    </w:p>
    <w:p>
      <w:pPr>
        <w:spacing w:after="240"/>
      </w:pPr>
      <w:r>
        <w:t>A cross-functional district leader who connects trustworthy assessment operations with accountability reporting, public communication, and evidence-centered continuous improvement.</w:t>
      </w:r>
    </w:p>
    <w:p>
      <w:pPr>
        <w:keepLines/>
        <w:spacing w:before="120" w:after="160"/>
        <w:ind w:left="230" w:right="115"/>
        <w:pBdr>
          <w:left w:val="single" w:sz="18" w:space="8" w:color="FDAB42"/>
        </w:pBdr>
        <w:shd w:fill="EAF3F7"/>
      </w:pPr>
      <w:r>
        <w:t>REFERENCE RESOURCE - NOT A JOB POSTING. This example does not represent an open position with the School Data Leadership Association.</w:t>
      </w:r>
    </w:p>
    <w:p>
      <w:pPr>
        <w:pStyle w:val="Heading1"/>
        <w:keepNext/>
        <w:pBdr>
          <w:left w:val="single" w:sz="18" w:space="8" w:color="FDAB42"/>
        </w:pBdr>
      </w:pPr>
      <w:r>
        <w:t>Position Information</w:t>
      </w:r>
    </w:p>
    <w:tbl>
      <w:tblPr>
        <w:tblStyle w:val="TableGrid"/>
        <w:tblW w:type="dxa" w:w="9360"/>
        <w:jc w:val="left"/>
        <w:tblLayout w:type="fixed"/>
        <w:tblLook w:firstColumn="1" w:firstRow="1" w:lastColumn="0" w:lastRow="0" w:noHBand="0" w:noVBand="1" w:val="04A0"/>
        <w:tblInd w:w="0" w:type="dxa"/>
      </w:tblPr>
      <w:tblGrid>
        <w:gridCol w:w="2520"/>
        <w:gridCol w:w="6840"/>
      </w:tblGrid>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Department / Division</w:t>
            </w:r>
          </w:p>
        </w:tc>
        <w:tc>
          <w:tcPr>
            <w:tcW w:type="dxa" w:w="6840"/>
            <w:shd w:fill="FFFFFF"/>
            <w:tcMar>
              <w:top w:w="110" w:type="dxa"/>
              <w:start w:w="140" w:type="dxa"/>
              <w:bottom w:w="110" w:type="dxa"/>
              <w:end w:w="140" w:type="dxa"/>
            </w:tcMar>
            <w:vAlign w:val="center"/>
          </w:tcPr>
          <w:p>
            <w:pPr>
              <w:spacing w:after="0"/>
            </w:pPr>
            <w:r>
              <w:rPr>
                <w:rFonts w:ascii="Aptos" w:hAnsi="Aptos"/>
                <w:color w:val="26383F"/>
                <w:sz w:val="18"/>
              </w:rPr>
              <w:t>Insert district-specific department or division</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Classification</w:t>
            </w:r>
          </w:p>
        </w:tc>
        <w:tc>
          <w:tcPr>
            <w:tcW w:type="dxa" w:w="6840"/>
            <w:shd w:fill="F9FBFC"/>
            <w:tcMar>
              <w:top w:w="110" w:type="dxa"/>
              <w:start w:w="140" w:type="dxa"/>
              <w:bottom w:w="110" w:type="dxa"/>
              <w:end w:w="140" w:type="dxa"/>
            </w:tcMar>
            <w:vAlign w:val="center"/>
          </w:tcPr>
          <w:p>
            <w:pPr>
              <w:spacing w:after="0"/>
            </w:pPr>
            <w:r>
              <w:rPr>
                <w:rFonts w:ascii="Aptos" w:hAnsi="Aptos"/>
                <w:color w:val="26383F"/>
                <w:sz w:val="18"/>
              </w:rPr>
              <w:t>Certificated Management</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Employment Status</w:t>
            </w:r>
          </w:p>
        </w:tc>
        <w:tc>
          <w:tcPr>
            <w:tcW w:type="dxa" w:w="6840"/>
            <w:shd w:fill="FFFFFF"/>
            <w:tcMar>
              <w:top w:w="110" w:type="dxa"/>
              <w:start w:w="140" w:type="dxa"/>
              <w:bottom w:w="110" w:type="dxa"/>
              <w:end w:w="140" w:type="dxa"/>
            </w:tcMar>
            <w:vAlign w:val="center"/>
          </w:tcPr>
          <w:p>
            <w:pPr>
              <w:spacing w:after="0"/>
            </w:pPr>
            <w:r>
              <w:rPr>
                <w:rFonts w:ascii="Aptos" w:hAnsi="Aptos"/>
                <w:color w:val="26383F"/>
                <w:sz w:val="18"/>
              </w:rPr>
              <w:t>Full-time; insert district-determined exempt or nonexempt status</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Work Year</w:t>
            </w:r>
          </w:p>
        </w:tc>
        <w:tc>
          <w:tcPr>
            <w:tcW w:type="dxa" w:w="6840"/>
            <w:shd w:fill="F9FBFC"/>
            <w:tcMar>
              <w:top w:w="110" w:type="dxa"/>
              <w:start w:w="140" w:type="dxa"/>
              <w:bottom w:w="110" w:type="dxa"/>
              <w:end w:w="140" w:type="dxa"/>
            </w:tcMar>
            <w:vAlign w:val="center"/>
          </w:tcPr>
          <w:p>
            <w:pPr>
              <w:spacing w:after="0"/>
            </w:pPr>
            <w:r>
              <w:rPr>
                <w:rFonts w:ascii="Aptos" w:hAnsi="Aptos"/>
                <w:color w:val="26383F"/>
                <w:sz w:val="18"/>
              </w:rPr>
              <w:t>Insert annual workdays or work-calendar information</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Salary Range</w:t>
            </w:r>
          </w:p>
        </w:tc>
        <w:tc>
          <w:tcPr>
            <w:tcW w:type="dxa" w:w="6840"/>
            <w:shd w:fill="FFFFFF"/>
            <w:tcMar>
              <w:top w:w="110" w:type="dxa"/>
              <w:start w:w="140" w:type="dxa"/>
              <w:bottom w:w="110" w:type="dxa"/>
              <w:end w:w="140" w:type="dxa"/>
            </w:tcMar>
            <w:vAlign w:val="center"/>
          </w:tcPr>
          <w:p>
            <w:pPr>
              <w:spacing w:after="0"/>
            </w:pPr>
            <w:r>
              <w:rPr>
                <w:rFonts w:ascii="Aptos" w:hAnsi="Aptos"/>
                <w:color w:val="26383F"/>
                <w:sz w:val="18"/>
              </w:rPr>
              <w:t>Insert salary schedule and range</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Bargaining Unit</w:t>
            </w:r>
          </w:p>
        </w:tc>
        <w:tc>
          <w:tcPr>
            <w:tcW w:type="dxa" w:w="6840"/>
            <w:shd w:fill="F9FBFC"/>
            <w:tcMar>
              <w:top w:w="110" w:type="dxa"/>
              <w:start w:w="140" w:type="dxa"/>
              <w:bottom w:w="110" w:type="dxa"/>
              <w:end w:w="140" w:type="dxa"/>
            </w:tcMar>
            <w:vAlign w:val="center"/>
          </w:tcPr>
          <w:p>
            <w:pPr>
              <w:spacing w:after="0"/>
            </w:pPr>
            <w:r>
              <w:rPr>
                <w:rFonts w:ascii="Aptos" w:hAnsi="Aptos"/>
                <w:color w:val="26383F"/>
                <w:sz w:val="18"/>
              </w:rPr>
              <w:t>Insert bargaining-unit or unrepresented-management designation</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Primary Location</w:t>
            </w:r>
          </w:p>
        </w:tc>
        <w:tc>
          <w:tcPr>
            <w:tcW w:type="dxa" w:w="6840"/>
            <w:shd w:fill="FFFFFF"/>
            <w:tcMar>
              <w:top w:w="110" w:type="dxa"/>
              <w:start w:w="140" w:type="dxa"/>
              <w:bottom w:w="110" w:type="dxa"/>
              <w:end w:w="140" w:type="dxa"/>
            </w:tcMar>
            <w:vAlign w:val="center"/>
          </w:tcPr>
          <w:p>
            <w:pPr>
              <w:spacing w:after="0"/>
            </w:pPr>
            <w:r>
              <w:rPr>
                <w:rFonts w:ascii="Aptos" w:hAnsi="Aptos"/>
                <w:color w:val="26383F"/>
                <w:sz w:val="18"/>
              </w:rPr>
              <w:t>Insert district-specific primary location</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Position Number</w:t>
            </w:r>
          </w:p>
        </w:tc>
        <w:tc>
          <w:tcPr>
            <w:tcW w:type="dxa" w:w="6840"/>
            <w:shd w:fill="F9FBFC"/>
            <w:tcMar>
              <w:top w:w="110" w:type="dxa"/>
              <w:start w:w="140" w:type="dxa"/>
              <w:bottom w:w="110" w:type="dxa"/>
              <w:end w:w="140" w:type="dxa"/>
            </w:tcMar>
            <w:vAlign w:val="center"/>
          </w:tcPr>
          <w:p>
            <w:pPr>
              <w:spacing w:after="0"/>
            </w:pPr>
            <w:r>
              <w:rPr>
                <w:rFonts w:ascii="Aptos" w:hAnsi="Aptos"/>
                <w:color w:val="26383F"/>
                <w:sz w:val="18"/>
              </w:rPr>
              <w:t>Insert district position or classification number</w:t>
            </w:r>
          </w:p>
        </w:tc>
      </w:tr>
    </w:tbl>
    <w:p>
      <w:pPr>
        <w:pStyle w:val="Heading1"/>
        <w:keepNext/>
        <w:pBdr>
          <w:left w:val="single" w:sz="18" w:space="8" w:color="FDAB42"/>
        </w:pBdr>
      </w:pPr>
      <w:r>
        <w:t>Position Description</w:t>
      </w:r>
    </w:p>
    <w:p>
      <w:r>
        <w:t>Under the direction of the appropriate district administrator, the Assessment and Accountability Coordinator leads assigned assessment programs and coordinates the district’s review, validation, interpretation, and communication of state and local accountability information.</w:t>
      </w:r>
    </w:p>
    <w:p>
      <w:r>
        <w:t>The coordinator integrates work that is often divided among assessment, CALPADS, student information, research, curriculum, multilingual learner services, special education, school improvement, technology, communications, and executive leadership. The position aligns operational calendars and data dependencies so that assessment participation, student-group information, certified records, accountability calculations, and public explanations are accurate and timely.</w:t>
      </w:r>
    </w:p>
    <w:p>
      <w:r>
        <w:t>The role combines disciplined administration with analytical judgment. It helps leaders distinguish assessment results from accountability measures, understand current business rules and limitations, identify inequities and implementation problems, and use multiple forms of evidence for responsible planning and continuous improvement.</w:t>
      </w:r>
    </w:p>
    <w:p>
      <w:pPr>
        <w:pStyle w:val="Heading1"/>
        <w:keepNext/>
        <w:pBdr>
          <w:left w:val="single" w:sz="18" w:space="8" w:color="FDAB42"/>
        </w:pBdr>
      </w:pPr>
      <w:r>
        <w:t>Reports To</w:t>
      </w:r>
    </w:p>
    <w:p>
      <w:r>
        <w:t>Insert your school district’s specific reporting relationship here.</w:t>
      </w:r>
    </w:p>
    <w:p>
      <w:pPr>
        <w:pStyle w:val="Heading1"/>
        <w:keepNext/>
        <w:pBdr>
          <w:left w:val="single" w:sz="18" w:space="8" w:color="FDAB42"/>
        </w:pBdr>
      </w:pPr>
      <w:r>
        <w:t>Required Education and Credentials</w:t>
      </w:r>
    </w:p>
    <w:p>
      <w:pPr>
        <w:pStyle w:val="Heading2"/>
        <w:keepNext/>
      </w:pPr>
      <w:r>
        <w:t>Required</w:t>
      </w:r>
    </w:p>
    <w:p>
      <w:pPr>
        <w:pStyle w:val="ListBullet"/>
        <w:keepLines/>
      </w:pPr>
      <w:r>
        <w:t>Bachelor’s degree from an accredited college or university in education, educational administration, assessment, research, statistics, data science, information systems, public administration, or a closely related field. Additional qualifying experience may be substituted where permitted by district policy.</w:t>
      </w:r>
    </w:p>
    <w:p>
      <w:pPr>
        <w:pStyle w:val="ListBullet"/>
        <w:keepLines/>
      </w:pPr>
      <w:r>
        <w:t>Successful completion of all district-required employment clearances.</w:t>
      </w:r>
    </w:p>
    <w:p>
      <w:pPr>
        <w:pStyle w:val="ListBullet"/>
        <w:keepLines/>
      </w:pPr>
      <w:r>
        <w:t>Completion of district-required assessment-security, student-privacy, accessibility, and information-security training within established timelines.</w:t>
      </w:r>
    </w:p>
    <w:p>
      <w:pPr>
        <w:pStyle w:val="Heading2"/>
        <w:keepNext/>
      </w:pPr>
      <w:r>
        <w:t>Preferred</w:t>
      </w:r>
    </w:p>
    <w:p>
      <w:pPr>
        <w:pStyle w:val="ListBullet"/>
        <w:keepLines/>
      </w:pPr>
      <w:r>
        <w:t>Graduate degree or advanced coursework in educational measurement, statistics, research, educational leadership, data science, or a related field.</w:t>
      </w:r>
    </w:p>
    <w:p>
      <w:pPr>
        <w:pStyle w:val="ListBullet"/>
        <w:keepLines/>
      </w:pPr>
      <w:r>
        <w:t>Current California administrative services or teaching credential when required by the district’s classification and assigned supervisory or instructional responsibilities.</w:t>
      </w:r>
    </w:p>
    <w:p>
      <w:pPr>
        <w:pStyle w:val="ListBullet"/>
        <w:keepLines/>
      </w:pPr>
      <w:r>
        <w:t>Relevant certification or professional learning in assessment administration, project management, data analytics, accessibility, or data governance.</w:t>
      </w:r>
    </w:p>
    <w:p>
      <w:pPr>
        <w:pStyle w:val="Heading1"/>
        <w:keepNext/>
        <w:pBdr>
          <w:left w:val="single" w:sz="18" w:space="8" w:color="FDAB42"/>
        </w:pBdr>
      </w:pPr>
      <w:r>
        <w:t>Required / Desired Experience</w:t>
      </w:r>
    </w:p>
    <w:p>
      <w:pPr>
        <w:pStyle w:val="Heading2"/>
        <w:keepNext/>
      </w:pPr>
      <w:r>
        <w:t>Required Experience</w:t>
      </w:r>
    </w:p>
    <w:p>
      <w:pPr>
        <w:pStyle w:val="ListBullet"/>
        <w:keepLines/>
      </w:pPr>
      <w:r>
        <w:t>Four or more years of progressively responsible experience in K–12 assessment, accountability, educational data, research, program evaluation, school improvement, administration, or a closely related function.</w:t>
      </w:r>
    </w:p>
    <w:p>
      <w:pPr>
        <w:pStyle w:val="ListBullet"/>
        <w:keepLines/>
      </w:pPr>
      <w:r>
        <w:t>Experience coordinating complex annual processes involving multiple schools, departments, datasets, deadlines, approvals, and public-facing outcomes.</w:t>
      </w:r>
    </w:p>
    <w:p>
      <w:pPr>
        <w:pStyle w:val="ListBullet"/>
        <w:keepLines/>
      </w:pPr>
      <w:r>
        <w:t>Experience interpreting technical rules, validating data, analyzing student-group results, and explaining findings to nontechnical audiences.</w:t>
      </w:r>
    </w:p>
    <w:p>
      <w:pPr>
        <w:pStyle w:val="ListBullet"/>
        <w:keepLines/>
      </w:pPr>
      <w:r>
        <w:t>Experience developing executive briefings, board or community materials, training, documentation, and quality-control procedures.</w:t>
      </w:r>
    </w:p>
    <w:p>
      <w:pPr>
        <w:pStyle w:val="ListBullet"/>
        <w:keepLines/>
      </w:pPr>
      <w:r>
        <w:t>Experience handling confidential information and navigating sensitive findings with accuracy and discretion.</w:t>
      </w:r>
    </w:p>
    <w:p>
      <w:pPr>
        <w:pStyle w:val="Heading2"/>
        <w:keepNext/>
      </w:pPr>
      <w:r>
        <w:t>Desired Experience</w:t>
      </w:r>
    </w:p>
    <w:p>
      <w:pPr>
        <w:pStyle w:val="ListBullet"/>
        <w:keepLines/>
      </w:pPr>
      <w:r>
        <w:t>Direct responsibility for California statewide assessments and California School Dashboard review or local indicator reporting.</w:t>
      </w:r>
    </w:p>
    <w:p>
      <w:pPr>
        <w:pStyle w:val="ListBullet"/>
        <w:keepLines/>
      </w:pPr>
      <w:r>
        <w:t>Experience with CAASPP and ELPAC systems, CERS, CALPADS, DataQuest, Dashboard downloadable files, an SIS, and local data warehouses or dashboards.</w:t>
      </w:r>
    </w:p>
    <w:p>
      <w:pPr>
        <w:pStyle w:val="ListBullet"/>
        <w:keepLines/>
      </w:pPr>
      <w:r>
        <w:t>Experience interpreting academic participation, distance-from-standard, English learner progress, graduation, chronic absenteeism, suspension, college/career, science, and local indicators.</w:t>
      </w:r>
    </w:p>
    <w:p>
      <w:pPr>
        <w:pStyle w:val="ListBullet"/>
        <w:keepLines/>
      </w:pPr>
      <w:r>
        <w:t>Experience supporting LCAP development, differentiated assistance, school planning, improvement monitoring, or program evaluation.</w:t>
      </w:r>
    </w:p>
    <w:p>
      <w:pPr>
        <w:pStyle w:val="ListBullet"/>
        <w:keepLines/>
      </w:pPr>
      <w:r>
        <w:t>Experience with SQL, statistical software, reproducible analysis, visualization, data dictionaries, and version-controlled analytical documentation.</w:t>
      </w:r>
    </w:p>
    <w:p>
      <w:pPr>
        <w:pStyle w:val="Heading1"/>
        <w:keepNext/>
        <w:pBdr>
          <w:left w:val="single" w:sz="18" w:space="8" w:color="FDAB42"/>
        </w:pBdr>
      </w:pPr>
      <w:r>
        <w:t>Essential Duties and Responsibilities</w:t>
      </w:r>
    </w:p>
    <w:p>
      <w:pPr>
        <w:pStyle w:val="Heading2"/>
        <w:keepNext/>
      </w:pPr>
      <w:r>
        <w:t>Integrated Planning and Governance</w:t>
      </w:r>
    </w:p>
    <w:p>
      <w:pPr>
        <w:pStyle w:val="ListBullet"/>
        <w:keepLines/>
      </w:pPr>
      <w:r>
        <w:t>Maintain an integrated annual calendar for assessment administration, CALPADS and source-data milestones, local indicator work, accountability previews, assessment and Dashboard releases, board reporting, school planning, and public communication.</w:t>
      </w:r>
    </w:p>
    <w:p>
      <w:pPr>
        <w:pStyle w:val="ListBullet"/>
        <w:keepLines/>
      </w:pPr>
      <w:r>
        <w:t>Establish owners, definitions, dependencies, validation steps, decision rights, approvals, and escalation paths for assessment and accountability products.</w:t>
      </w:r>
    </w:p>
    <w:p>
      <w:pPr>
        <w:pStyle w:val="ListBullet"/>
        <w:keepLines/>
      </w:pPr>
      <w:r>
        <w:t>Convene assessment, data, program, technology, school, and communications personnel to resolve cross-functional risks before deadlines.</w:t>
      </w:r>
    </w:p>
    <w:p>
      <w:pPr>
        <w:pStyle w:val="ListBullet"/>
        <w:keepLines/>
      </w:pPr>
      <w:r>
        <w:t>Maintain current knowledge of assessment programs, Dashboard measures, technical guides, business rules, downloadable file layouts, release changes, and state communications.</w:t>
      </w:r>
    </w:p>
    <w:p>
      <w:pPr>
        <w:pStyle w:val="ListBullet"/>
        <w:keepLines/>
      </w:pPr>
      <w:r>
        <w:t>Advise leadership about data readiness, interpretive limits, emerging risks, and implications for continuous improvement.</w:t>
      </w:r>
    </w:p>
    <w:p>
      <w:pPr>
        <w:pStyle w:val="Heading2"/>
        <w:keepNext/>
      </w:pPr>
      <w:r>
        <w:t>Assessment Administration and Participation</w:t>
      </w:r>
    </w:p>
    <w:p>
      <w:pPr>
        <w:pStyle w:val="ListBullet"/>
        <w:keepLines/>
      </w:pPr>
      <w:r>
        <w:t>Lead or coordinate readiness, registration, accessibility, security, training, administration, incident response, completion monitoring, and closeout for assigned assessments.</w:t>
      </w:r>
    </w:p>
    <w:p>
      <w:pPr>
        <w:pStyle w:val="ListBullet"/>
        <w:keepLines/>
      </w:pPr>
      <w:r>
        <w:t>Monitor participation and completion by school and student group and coordinate timely investigation of gaps, barriers, and record discrepancies.</w:t>
      </w:r>
    </w:p>
    <w:p>
      <w:pPr>
        <w:pStyle w:val="ListBullet"/>
        <w:keepLines/>
      </w:pPr>
      <w:r>
        <w:t>Validate student attributes, program indicators, testing assignments, accommodations, and score files against authoritative systems.</w:t>
      </w:r>
    </w:p>
    <w:p>
      <w:pPr>
        <w:pStyle w:val="ListBullet"/>
        <w:keepLines/>
      </w:pPr>
      <w:r>
        <w:t>Coordinate secure access to preliminary and final results and help educators interpret results within the assessments’ intended purposes.</w:t>
      </w:r>
    </w:p>
    <w:p>
      <w:pPr>
        <w:pStyle w:val="ListBullet"/>
        <w:keepLines/>
      </w:pPr>
      <w:r>
        <w:t>Document material incidents, appeals, corrections, decisions, and improvement actions.</w:t>
      </w:r>
    </w:p>
    <w:p>
      <w:pPr>
        <w:pStyle w:val="Heading2"/>
        <w:keepNext/>
      </w:pPr>
      <w:r>
        <w:t>Accountability Data Review and Reporting</w:t>
      </w:r>
    </w:p>
    <w:p>
      <w:pPr>
        <w:pStyle w:val="ListBullet"/>
        <w:keepLines/>
      </w:pPr>
      <w:r>
        <w:t>Coordinate local review of California School Dashboard state and local measures, supporting data files, applicable student groups, and calculation inputs.</w:t>
      </w:r>
    </w:p>
    <w:p>
      <w:pPr>
        <w:pStyle w:val="ListBullet"/>
        <w:keepLines/>
      </w:pPr>
      <w:r>
        <w:t>Reconcile assessment, enrollment, attendance, discipline, graduation, course, college/career, English learner, and other relevant data with responsible owners.</w:t>
      </w:r>
    </w:p>
    <w:p>
      <w:pPr>
        <w:pStyle w:val="ListBullet"/>
        <w:keepLines/>
      </w:pPr>
      <w:r>
        <w:t>Review Status, Change, participation effects, performance levels, inclusions, exclusions, and applicable business rules using current technical guidance.</w:t>
      </w:r>
    </w:p>
    <w:p>
      <w:pPr>
        <w:pStyle w:val="ListBullet"/>
        <w:keepLines/>
      </w:pPr>
      <w:r>
        <w:t>Coordinate local indicator evidence, governing-board presentation or reporting steps, and timely submission through the designated state process.</w:t>
      </w:r>
    </w:p>
    <w:p>
      <w:pPr>
        <w:pStyle w:val="ListBullet"/>
        <w:keepLines/>
      </w:pPr>
      <w:r>
        <w:t>Maintain review workpapers, source references, analytical specifications, signoffs, issue logs, and reproducible files.</w:t>
      </w:r>
    </w:p>
    <w:p>
      <w:pPr>
        <w:pStyle w:val="Heading2"/>
        <w:keepNext/>
      </w:pPr>
      <w:r>
        <w:t>Analysis, Communication, and Continuous Improvement</w:t>
      </w:r>
    </w:p>
    <w:p>
      <w:pPr>
        <w:pStyle w:val="ListBullet"/>
        <w:keepLines/>
      </w:pPr>
      <w:r>
        <w:t>Prepare accurate briefings, dashboards, board materials, school profiles, public explanations, and data-use guidance for varied audiences.</w:t>
      </w:r>
    </w:p>
    <w:p>
      <w:pPr>
        <w:pStyle w:val="ListBullet"/>
        <w:keepLines/>
      </w:pPr>
      <w:r>
        <w:t>Clearly distinguish state assessment reporting, Dashboard accountability calculations, DataQuest publications, certified source data, and locally derived analyses.</w:t>
      </w:r>
    </w:p>
    <w:p>
      <w:pPr>
        <w:pStyle w:val="ListBullet"/>
        <w:keepLines/>
      </w:pPr>
      <w:r>
        <w:t>Disaggregate outcomes responsibly, apply privacy and suppression requirements, identify meaningful patterns, and state uncertainty and limitations.</w:t>
      </w:r>
    </w:p>
    <w:p>
      <w:pPr>
        <w:pStyle w:val="ListBullet"/>
        <w:keepLines/>
      </w:pPr>
      <w:r>
        <w:t>Support LCAP, school planning, program review, differentiated assistance, and improvement teams in framing questions and monitoring evidence.</w:t>
      </w:r>
    </w:p>
    <w:p>
      <w:pPr>
        <w:pStyle w:val="ListBullet"/>
        <w:keepLines/>
      </w:pPr>
      <w:r>
        <w:t>Prevent simplistic ranking, deficit framing, unsupported causal conclusions, or use of a single measure as a complete judgment of students or schools.</w:t>
      </w:r>
    </w:p>
    <w:p>
      <w:pPr>
        <w:pStyle w:val="Heading2"/>
        <w:keepNext/>
      </w:pPr>
      <w:r>
        <w:t>Data Systems, Quality, Security, and Privacy</w:t>
      </w:r>
    </w:p>
    <w:p>
      <w:pPr>
        <w:pStyle w:val="ListBullet"/>
        <w:keepLines/>
      </w:pPr>
      <w:r>
        <w:t>Coordinate data lineage across the SIS, assessment platforms, CALPADS, local warehouses, analytical tools, and public reporting products.</w:t>
      </w:r>
    </w:p>
    <w:p>
      <w:pPr>
        <w:pStyle w:val="ListBullet"/>
        <w:keepLines/>
      </w:pPr>
      <w:r>
        <w:t>Develop validation queries, reconciliations, reasonableness checks, change logs, and controlled automation with human review of consequential outputs.</w:t>
      </w:r>
    </w:p>
    <w:p>
      <w:pPr>
        <w:pStyle w:val="ListBullet"/>
        <w:keepLines/>
      </w:pPr>
      <w:r>
        <w:t>Apply least-privilege access, secure exchange, minimum-necessary disclosure, appropriate retention, and incident-escalation practices.</w:t>
      </w:r>
    </w:p>
    <w:p>
      <w:pPr>
        <w:pStyle w:val="ListBullet"/>
        <w:keepLines/>
      </w:pPr>
      <w:r>
        <w:t>Test changes to systems, calculations, file layouts, or analytical code and document peer review, acceptance criteria, and results.</w:t>
      </w:r>
    </w:p>
    <w:p>
      <w:pPr>
        <w:pStyle w:val="ListBullet"/>
        <w:keepLines/>
      </w:pPr>
      <w:r>
        <w:t>Maintain data dictionaries, measure specifications, process maps, decision logs, standard operating procedures, and continuity documentation.</w:t>
      </w:r>
    </w:p>
    <w:p>
      <w:pPr>
        <w:pStyle w:val="Heading2"/>
        <w:keepNext/>
      </w:pPr>
      <w:r>
        <w:t>Capacity Building and Leadership Support</w:t>
      </w:r>
    </w:p>
    <w:p>
      <w:pPr>
        <w:pStyle w:val="ListBullet"/>
        <w:keepLines/>
      </w:pPr>
      <w:r>
        <w:t>Train district and school leaders to interpret assessment and accountability evidence accurately and connect it to actionable local inquiry.</w:t>
      </w:r>
    </w:p>
    <w:p>
      <w:pPr>
        <w:pStyle w:val="ListBullet"/>
        <w:keepLines/>
      </w:pPr>
      <w:r>
        <w:t>Publish calendars, change summaries, definitions, frequently asked questions, quality reports, and role-specific guidance.</w:t>
      </w:r>
    </w:p>
    <w:p>
      <w:pPr>
        <w:pStyle w:val="ListBullet"/>
        <w:keepLines/>
      </w:pPr>
      <w:r>
        <w:t>Coordinate with CDE, county offices, assessment organizations, vendors, and support agencies and track questions through verified resolution.</w:t>
      </w:r>
    </w:p>
    <w:p>
      <w:pPr>
        <w:pStyle w:val="ListBullet"/>
        <w:keepLines/>
      </w:pPr>
      <w:r>
        <w:t>Facilitate after-action reviews and recommend improvements to data collection, administration, validation, analysis, and communication.</w:t>
      </w:r>
    </w:p>
    <w:p>
      <w:pPr>
        <w:pStyle w:val="ListBullet"/>
        <w:keepLines/>
      </w:pPr>
      <w:r>
        <w:t>Cross-train designated staff and perform other related duties consistent with the position’s purpose and classification.</w:t>
      </w:r>
    </w:p>
    <w:p>
      <w:pPr>
        <w:pStyle w:val="Heading1"/>
        <w:keepNext/>
        <w:pBdr>
          <w:left w:val="single" w:sz="18" w:space="8" w:color="FDAB42"/>
        </w:pBdr>
      </w:pPr>
      <w:r>
        <w:t>Required Skills and Abilities</w:t>
      </w:r>
    </w:p>
    <w:p>
      <w:pPr>
        <w:pStyle w:val="Heading2"/>
        <w:keepNext/>
      </w:pPr>
      <w:r>
        <w:t>Knowledge of</w:t>
      </w:r>
    </w:p>
    <w:p>
      <w:pPr>
        <w:pStyle w:val="ListBullet"/>
        <w:keepLines/>
      </w:pPr>
      <w:r>
        <w:t>California statewide assessment programs and the California School Dashboard’s state and local measures, student groups, participation rules, data sources, and technical guidance.</w:t>
      </w:r>
    </w:p>
    <w:p>
      <w:pPr>
        <w:pStyle w:val="ListBullet"/>
        <w:keepLines/>
      </w:pPr>
      <w:r>
        <w:t>Educational measurement, descriptive statistics, suppression, missing data, comparability, subgroup analysis, data visualization, and limits of inference.</w:t>
      </w:r>
    </w:p>
    <w:p>
      <w:pPr>
        <w:pStyle w:val="ListBullet"/>
        <w:keepLines/>
      </w:pPr>
      <w:r>
        <w:t>LCFF and LCAP context, continuous-improvement methods, school planning, and responsible public communication of educational evidence.</w:t>
      </w:r>
    </w:p>
    <w:p>
      <w:pPr>
        <w:pStyle w:val="ListBullet"/>
        <w:keepLines/>
      </w:pPr>
      <w:r>
        <w:t>CALPADS, student information systems, assessment platforms, data warehouses, file layouts, data lineage, validation, and reconciliation.</w:t>
      </w:r>
    </w:p>
    <w:p>
      <w:pPr>
        <w:pStyle w:val="ListBullet"/>
        <w:keepLines/>
      </w:pPr>
      <w:r>
        <w:t>Student privacy, test security, accessibility, records management, data governance, internal controls, and change management.</w:t>
      </w:r>
    </w:p>
    <w:p>
      <w:pPr>
        <w:pStyle w:val="Heading2"/>
        <w:keepNext/>
      </w:pPr>
      <w:r>
        <w:t>Ability to</w:t>
      </w:r>
    </w:p>
    <w:p>
      <w:pPr>
        <w:pStyle w:val="ListBullet"/>
        <w:keepLines/>
      </w:pPr>
      <w:r>
        <w:t>Integrate assessment operations and accountability reporting without confusing their distinct rules, timelines, and purposes.</w:t>
      </w:r>
    </w:p>
    <w:p>
      <w:pPr>
        <w:pStyle w:val="ListBullet"/>
        <w:keepLines/>
      </w:pPr>
      <w:r>
        <w:t>Interpret evolving technical guidance and translate it into defensible local procedures, calculations, and communications.</w:t>
      </w:r>
    </w:p>
    <w:p>
      <w:pPr>
        <w:pStyle w:val="ListBullet"/>
        <w:keepLines/>
      </w:pPr>
      <w:r>
        <w:t>Trace unexpected results through source data, definitions, transformations, populations, and business rules.</w:t>
      </w:r>
    </w:p>
    <w:p>
      <w:pPr>
        <w:pStyle w:val="ListBullet"/>
        <w:keepLines/>
      </w:pPr>
      <w:r>
        <w:t>Facilitate cross-department decisions and communicate material risk to school, program, technical, executive, board, and community audiences.</w:t>
      </w:r>
    </w:p>
    <w:p>
      <w:pPr>
        <w:pStyle w:val="ListBullet"/>
        <w:keepLines/>
      </w:pPr>
      <w:r>
        <w:t>Build reproducible analyses and concise visual or narrative products that preserve context and confidentiality.</w:t>
      </w:r>
    </w:p>
    <w:p>
      <w:pPr>
        <w:pStyle w:val="ListBullet"/>
        <w:keepLines/>
      </w:pPr>
      <w:r>
        <w:t>Manage overlapping high-stakes deadlines with transparent status, documentation, review, and escalation.</w:t>
      </w:r>
    </w:p>
    <w:p>
      <w:pPr>
        <w:pStyle w:val="Heading1"/>
        <w:keepNext/>
        <w:pBdr>
          <w:left w:val="single" w:sz="18" w:space="8" w:color="FDAB42"/>
        </w:pBdr>
      </w:pPr>
      <w:r>
        <w:t>Work Environment</w:t>
      </w:r>
    </w:p>
    <w:p>
      <w:pPr>
        <w:pStyle w:val="ListBullet"/>
        <w:keepLines/>
      </w:pPr>
      <w:r>
        <w:t>Work is performed in district offices, schools, meetings, training environments, public presentations, and other computer-based professional settings.</w:t>
      </w:r>
    </w:p>
    <w:p>
      <w:pPr>
        <w:pStyle w:val="ListBullet"/>
        <w:keepLines/>
      </w:pPr>
      <w:r>
        <w:t>The position requires extended computer use and detailed review of technical guides, student-level records, aggregate files, calculations, reports, and public materials.</w:t>
      </w:r>
    </w:p>
    <w:p>
      <w:pPr>
        <w:pStyle w:val="ListBullet"/>
        <w:keepLines/>
      </w:pPr>
      <w:r>
        <w:t>Work involves frequent interaction with school and district leaders, educators, analysts, program staff, technology teams, families, vendors, and government agencies.</w:t>
      </w:r>
    </w:p>
    <w:p>
      <w:pPr>
        <w:pStyle w:val="ListBullet"/>
        <w:keepLines/>
      </w:pPr>
      <w:r>
        <w:t>Workload may increase substantially during testing windows, certification cycles, accountability previews and releases, governing-board deadlines, and major system changes.</w:t>
      </w:r>
    </w:p>
    <w:p>
      <w:pPr>
        <w:pStyle w:val="ListBullet"/>
        <w:keepLines/>
      </w:pPr>
      <w:r>
        <w:t>The employee may encounter competing interpretations, confidential findings, urgent corrections, public scrutiny, and complex decisions under fixed timelines.</w:t>
      </w:r>
    </w:p>
    <w:p>
      <w:pPr>
        <w:pStyle w:val="ListBullet"/>
        <w:keepLines/>
      </w:pPr>
      <w:r>
        <w:t>The position requires secure handling of personally identifiable information and careful communication of sensitive results.</w:t>
      </w:r>
    </w:p>
    <w:p>
      <w:pPr>
        <w:pStyle w:val="Heading1"/>
        <w:keepNext/>
        <w:pBdr>
          <w:left w:val="single" w:sz="18" w:space="8" w:color="FDAB42"/>
        </w:pBdr>
      </w:pPr>
      <w:r>
        <w:t>Other Requirements</w:t>
      </w:r>
    </w:p>
    <w:p>
      <w:pPr>
        <w:pStyle w:val="ListBullet"/>
        <w:keepLines/>
      </w:pPr>
      <w:r>
        <w:t>Successfully complete required criminal-record, fingerprint, and employment clearances.</w:t>
      </w:r>
    </w:p>
    <w:p>
      <w:pPr>
        <w:pStyle w:val="ListBullet"/>
        <w:keepLines/>
      </w:pPr>
      <w:r>
        <w:t>Complete a tuberculosis risk assessment and any examination required by applicable law or district policy.</w:t>
      </w:r>
    </w:p>
    <w:p>
      <w:pPr>
        <w:pStyle w:val="ListBullet"/>
        <w:keepLines/>
      </w:pPr>
      <w:r>
        <w:t>Complete district-required cybersecurity, student-privacy, assessment-security, safety, nondiscrimination, and workplace training.</w:t>
      </w:r>
    </w:p>
    <w:p>
      <w:pPr>
        <w:pStyle w:val="ListBullet"/>
        <w:keepLines/>
      </w:pPr>
      <w:r>
        <w:t>Maintain professional confidentiality and comply with district policies governing records, acceptable technology use, assessment security, and data access.</w:t>
      </w:r>
    </w:p>
    <w:p>
      <w:pPr>
        <w:pStyle w:val="ListBullet"/>
        <w:keepLines/>
      </w:pPr>
      <w:r>
        <w:t>Travel between district offices, schools, meetings, training locations, and professional-development activities as assigned.</w:t>
      </w:r>
    </w:p>
    <w:p>
      <w:pPr>
        <w:pStyle w:val="ListBullet"/>
        <w:keepLines/>
      </w:pPr>
      <w:r>
        <w:t>Possess a valid California driver’s license and maintain insurability when driving is an essential function of the position.</w:t>
      </w:r>
    </w:p>
    <w:p>
      <w:pPr>
        <w:pStyle w:val="ListBullet"/>
        <w:keepLines/>
      </w:pPr>
      <w:r>
        <w:t>Occasionally work early-morning, evening, weekend, or extended hours during critical testing, reporting, or public-release periods.</w:t>
      </w:r>
    </w:p>
    <w:p>
      <w:pPr>
        <w:pStyle w:val="ListBullet"/>
        <w:keepLines/>
      </w:pPr>
      <w:r>
        <w:t>Regularly sit, stand, walk, speak, hear, read, and operate computers and standard office equipment.</w:t>
      </w:r>
    </w:p>
    <w:p>
      <w:pPr>
        <w:pStyle w:val="ListBullet"/>
        <w:keepLines/>
      </w:pPr>
      <w:r>
        <w:t>Use hands and fingers for keyboarding and handling documents; maintain visual attention while reviewing detailed records and computer displays.</w:t>
      </w:r>
    </w:p>
    <w:p>
      <w:pPr>
        <w:pStyle w:val="ListBullet"/>
        <w:keepLines/>
      </w:pPr>
      <w:r>
        <w:t>Occasionally lift, carry, or move records, devices, equipment, or supplies weighing up to 25 pounds.</w:t>
      </w:r>
    </w:p>
    <w:p>
      <w:pPr>
        <w:pStyle w:val="ListBullet"/>
        <w:keepLines/>
      </w:pPr>
      <w:r>
        <w:t>Perform the essential functions of the position with or without reasonable accommodation.</w:t>
      </w:r>
    </w:p>
    <w:p>
      <w:pPr>
        <w:pStyle w:val="Heading1"/>
        <w:keepNext/>
        <w:pBdr>
          <w:left w:val="single" w:sz="18" w:space="8" w:color="FDAB42"/>
        </w:pBdr>
        <w:pageBreakBefore/>
      </w:pPr>
      <w:r>
        <w:t>Document Control and Local Adoption</w:t>
      </w:r>
    </w:p>
    <w:tbl>
      <w:tblPr>
        <w:tblStyle w:val="TableGrid"/>
        <w:tblW w:type="dxa" w:w="9360"/>
        <w:jc w:val="left"/>
        <w:tblLayout w:type="fixed"/>
        <w:tblLook w:firstColumn="1" w:firstRow="1" w:lastColumn="0" w:lastRow="0" w:noHBand="0" w:noVBand="1" w:val="04A0"/>
        <w:tblInd w:w="0" w:type="dxa"/>
      </w:tblPr>
      <w:tblGrid>
        <w:gridCol w:w="2520"/>
        <w:gridCol w:w="6840"/>
      </w:tblGrid>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Governing Board Approval Date</w:t>
            </w:r>
          </w:p>
        </w:tc>
        <w:tc>
          <w:tcPr>
            <w:tcW w:type="dxa" w:w="6840"/>
            <w:shd w:fill="FFFFFF"/>
            <w:tcMar>
              <w:top w:w="110" w:type="dxa"/>
              <w:start w:w="140" w:type="dxa"/>
              <w:bottom w:w="110" w:type="dxa"/>
              <w:end w:w="140" w:type="dxa"/>
            </w:tcMar>
            <w:vAlign w:val="center"/>
          </w:tcPr>
          <w:p>
            <w:pPr>
              <w:spacing w:after="0"/>
            </w:pPr>
            <w:r>
              <w:rPr>
                <w:rFonts w:ascii="Aptos" w:hAnsi="Aptos"/>
                <w:color w:val="26383F"/>
                <w:sz w:val="18"/>
              </w:rPr>
              <w:t>Insert date</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Effective Date</w:t>
            </w:r>
          </w:p>
        </w:tc>
        <w:tc>
          <w:tcPr>
            <w:tcW w:type="dxa" w:w="6840"/>
            <w:shd w:fill="F9FBFC"/>
            <w:tcMar>
              <w:top w:w="110" w:type="dxa"/>
              <w:start w:w="140" w:type="dxa"/>
              <w:bottom w:w="110" w:type="dxa"/>
              <w:end w:w="140" w:type="dxa"/>
            </w:tcMar>
            <w:vAlign w:val="center"/>
          </w:tcPr>
          <w:p>
            <w:pPr>
              <w:spacing w:after="0"/>
            </w:pPr>
            <w:r>
              <w:rPr>
                <w:rFonts w:ascii="Aptos" w:hAnsi="Aptos"/>
                <w:color w:val="26383F"/>
                <w:sz w:val="18"/>
              </w:rPr>
              <w:t>Insert date</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Last Revision Date</w:t>
            </w:r>
          </w:p>
        </w:tc>
        <w:tc>
          <w:tcPr>
            <w:tcW w:type="dxa" w:w="6840"/>
            <w:shd w:fill="FFFFFF"/>
            <w:tcMar>
              <w:top w:w="110" w:type="dxa"/>
              <w:start w:w="140" w:type="dxa"/>
              <w:bottom w:w="110" w:type="dxa"/>
              <w:end w:w="140" w:type="dxa"/>
            </w:tcMar>
            <w:vAlign w:val="center"/>
          </w:tcPr>
          <w:p>
            <w:pPr>
              <w:spacing w:after="0"/>
            </w:pPr>
            <w:r>
              <w:rPr>
                <w:rFonts w:ascii="Aptos" w:hAnsi="Aptos"/>
                <w:color w:val="26383F"/>
                <w:sz w:val="18"/>
              </w:rPr>
              <w:t>Insert date</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Human Resources Review Date</w:t>
            </w:r>
          </w:p>
        </w:tc>
        <w:tc>
          <w:tcPr>
            <w:tcW w:type="dxa" w:w="6840"/>
            <w:shd w:fill="F9FBFC"/>
            <w:tcMar>
              <w:top w:w="110" w:type="dxa"/>
              <w:start w:w="140" w:type="dxa"/>
              <w:bottom w:w="110" w:type="dxa"/>
              <w:end w:w="140" w:type="dxa"/>
            </w:tcMar>
            <w:vAlign w:val="center"/>
          </w:tcPr>
          <w:p>
            <w:pPr>
              <w:spacing w:after="0"/>
            </w:pPr>
            <w:r>
              <w:rPr>
                <w:rFonts w:ascii="Aptos" w:hAnsi="Aptos"/>
                <w:color w:val="26383F"/>
                <w:sz w:val="18"/>
              </w:rPr>
              <w:t>Insert date</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Job Description Number</w:t>
            </w:r>
          </w:p>
        </w:tc>
        <w:tc>
          <w:tcPr>
            <w:tcW w:type="dxa" w:w="6840"/>
            <w:shd w:fill="FFFFFF"/>
            <w:tcMar>
              <w:top w:w="110" w:type="dxa"/>
              <w:start w:w="140" w:type="dxa"/>
              <w:bottom w:w="110" w:type="dxa"/>
              <w:end w:w="140" w:type="dxa"/>
            </w:tcMar>
            <w:vAlign w:val="center"/>
          </w:tcPr>
          <w:p>
            <w:pPr>
              <w:spacing w:after="0"/>
            </w:pPr>
            <w:r>
              <w:rPr>
                <w:rFonts w:ascii="Aptos" w:hAnsi="Aptos"/>
                <w:color w:val="26383F"/>
                <w:sz w:val="18"/>
              </w:rPr>
              <w:t>Insert number</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Salary Schedule Reference</w:t>
            </w:r>
          </w:p>
        </w:tc>
        <w:tc>
          <w:tcPr>
            <w:tcW w:type="dxa" w:w="6840"/>
            <w:shd w:fill="F9FBFC"/>
            <w:tcMar>
              <w:top w:w="110" w:type="dxa"/>
              <w:start w:w="140" w:type="dxa"/>
              <w:bottom w:w="110" w:type="dxa"/>
              <w:end w:w="140" w:type="dxa"/>
            </w:tcMar>
            <w:vAlign w:val="center"/>
          </w:tcPr>
          <w:p>
            <w:pPr>
              <w:spacing w:after="0"/>
            </w:pPr>
            <w:r>
              <w:rPr>
                <w:rFonts w:ascii="Aptos" w:hAnsi="Aptos"/>
                <w:color w:val="26383F"/>
                <w:sz w:val="18"/>
              </w:rPr>
              <w:t>Insert schedule</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Governing Policy Reference</w:t>
            </w:r>
          </w:p>
        </w:tc>
        <w:tc>
          <w:tcPr>
            <w:tcW w:type="dxa" w:w="6840"/>
            <w:shd w:fill="FFFFFF"/>
            <w:tcMar>
              <w:top w:w="110" w:type="dxa"/>
              <w:start w:w="140" w:type="dxa"/>
              <w:bottom w:w="110" w:type="dxa"/>
              <w:end w:w="140" w:type="dxa"/>
            </w:tcMar>
            <w:vAlign w:val="center"/>
          </w:tcPr>
          <w:p>
            <w:pPr>
              <w:spacing w:after="0"/>
            </w:pPr>
            <w:r>
              <w:rPr>
                <w:rFonts w:ascii="Aptos" w:hAnsi="Aptos"/>
                <w:color w:val="26383F"/>
                <w:sz w:val="18"/>
              </w:rPr>
              <w:t>Insert applicable policy</w:t>
            </w:r>
          </w:p>
        </w:tc>
      </w:tr>
      <w:tr>
        <w:tc>
          <w:tcPr>
            <w:tcW w:type="dxa" w:w="2520"/>
            <w:shd w:fill="EAF3F7"/>
            <w:tcMar>
              <w:top w:w="110" w:type="dxa"/>
              <w:start w:w="140" w:type="dxa"/>
              <w:bottom w:w="110" w:type="dxa"/>
              <w:end w:w="140" w:type="dxa"/>
            </w:tcMar>
            <w:vAlign w:val="center"/>
          </w:tcPr>
          <w:p>
            <w:pPr>
              <w:spacing w:after="0"/>
            </w:pPr>
            <w:r>
              <w:rPr>
                <w:rFonts w:ascii="Aptos" w:hAnsi="Aptos"/>
                <w:b/>
                <w:color w:val="315F74"/>
                <w:sz w:val="18"/>
              </w:rPr>
              <w:t>Collective Bargaining Reference</w:t>
            </w:r>
          </w:p>
        </w:tc>
        <w:tc>
          <w:tcPr>
            <w:tcW w:type="dxa" w:w="6840"/>
            <w:shd w:fill="F9FBFC"/>
            <w:tcMar>
              <w:top w:w="110" w:type="dxa"/>
              <w:start w:w="140" w:type="dxa"/>
              <w:bottom w:w="110" w:type="dxa"/>
              <w:end w:w="140" w:type="dxa"/>
            </w:tcMar>
            <w:vAlign w:val="center"/>
          </w:tcPr>
          <w:p>
            <w:pPr>
              <w:spacing w:after="0"/>
            </w:pPr>
            <w:r>
              <w:rPr>
                <w:rFonts w:ascii="Aptos" w:hAnsi="Aptos"/>
                <w:color w:val="26383F"/>
                <w:sz w:val="18"/>
              </w:rPr>
              <w:t>Insert if applicable</w:t>
            </w:r>
          </w:p>
        </w:tc>
      </w:tr>
    </w:tbl>
    <w:p>
      <w:pPr>
        <w:keepLines/>
        <w:spacing w:before="120" w:after="160"/>
        <w:ind w:left="230" w:right="115"/>
        <w:pBdr>
          <w:left w:val="single" w:sz="18" w:space="8" w:color="FDAB42"/>
        </w:pBdr>
        <w:shd w:fill="F4F5F6"/>
      </w:pPr>
      <w:r>
        <w:t>LOCAL ADAPTATION REQUIRED. This description identifies the general nature and principal responsibilities of the position. The employing district should identify the position's actual essential functions and revise all requirements to reflect its operations, board policies, collective bargaining agreements, and applicable laws. Local human-resources and legal review is recommended before formal adoption.</w:t>
      </w:r>
    </w:p>
    <w:p>
      <w:pPr>
        <w:keepLines/>
        <w:spacing w:before="120" w:after="160"/>
        <w:ind w:left="230" w:right="115"/>
        <w:pBdr>
          <w:left w:val="single" w:sz="18" w:space="8" w:color="315F74"/>
        </w:pBdr>
        <w:shd w:fill="EAF3F7"/>
      </w:pPr>
      <w:r>
        <w:t>SDLA EXEMPLAR AND USE NOTICE. This exemplar Assessment and Accountability Coordinator job description is provided as a free resource for school districts by the School Data Leadership Association. It is an educational reference template, not an employment announcement or recruitment by SDLA. It is intended as a customizable starting point and does not constitute legal, human-resources, employment, or regulatory advice. SDLA makes no representations regarding its accuracy, completeness, currency, or suitability for a particular organization, position, or jurisdiction. School districts are welcome to use and adapt it.</w:t>
      </w:r>
    </w:p>
    <w:sectPr w:rsidR="00C7230F" w:rsidSect="00034616">
      <w:headerReference w:type="default" r:id="rId8"/>
      <w:footerReference w:type="default" r:id="rId9"/>
      <w:headerReference w:type="even" r:id="rId12"/>
      <w:footerReference w:type="even" r:id="rId13"/>
      <w:pgSz w:w="12240" w:h="15840"/>
      <w:pgMar w:top="1123" w:right="1296" w:bottom="1123" w:left="1296" w:header="504"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C6A1A43" w14:textId="77777777" w:rsidR="00A91A23" w:rsidRDefault="00A91A23">
      <w:pPr>
        <w:spacing w:after="0" w:line="240" w:lineRule="auto"/>
      </w:pPr>
      <w:r>
        <w:separator/>
      </w:r>
    </w:p>
  </w:endnote>
  <w:endnote w:type="continuationSeparator" w:id="0">
    <w:p w14:paraId="4DE04C61" w14:textId="77777777" w:rsidR="00A91A23" w:rsidRDefault="00A91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F965A5" w14:textId="77777777" w:rsidR="00C7230F" w:rsidRDefault="00000000">
    <w:pPr>
      <w:pStyle w:val="Footer"/>
      <w:spacing w:before="0"/>
      <w:jc w:val="center"/>
    </w:pPr>
    <w:r>
      <w:rPr>
        <w:rFonts w:ascii="Aptos" w:hAnsi="Aptos"/>
        <w:color w:val="66747A"/>
        <w:sz w:val="16"/>
      </w:rPr>
      <w:t>Reference resource - not a job posting  |  schooldataleadership.org</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jc w:val="center"/>
    </w:pPr>
    <w:r>
      <w:rPr>
        <w:rFonts w:ascii="Aptos" w:hAnsi="Aptos"/>
        <w:color w:val="66747A"/>
        <w:sz w:val="16"/>
      </w:rPr>
      <w:t>Reference resource - not a job posting  |  schooldataleadership.org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BC6EB3B" w14:textId="77777777" w:rsidR="00A91A23" w:rsidRDefault="00A91A23">
      <w:pPr>
        <w:spacing w:after="0" w:line="240" w:lineRule="auto"/>
      </w:pPr>
      <w:r>
        <w:separator/>
      </w:r>
    </w:p>
  </w:footnote>
  <w:footnote w:type="continuationSeparator" w:id="0">
    <w:p w14:paraId="7FF97964" w14:textId="77777777" w:rsidR="00A91A23" w:rsidRDefault="00A91A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F902A1" w14:textId="77777777" w:rsidR="00C7230F" w:rsidRDefault="00000000">
    <w:pPr>
      <w:pStyle w:val="Header"/>
      <w:spacing w:after="0"/>
      <w:jc w:val="right"/>
    </w:pPr>
    <w:r>
      <w:rPr>
        <w:rFonts w:ascii="Aptos" w:hAnsi="Aptos"/>
        <w:b/>
        <w:color w:val="66747A"/>
        <w:sz w:val="17"/>
      </w:rPr>
      <w:t>SCHOOL DATA LEADERSHIP ASSOCIATION  |  EXAMPLE JOB DESCRIPTION</w:t>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rFonts w:ascii="Aptos" w:hAnsi="Aptos"/>
        <w:b/>
        <w:color w:val="66747A"/>
        <w:sz w:val="17"/>
      </w:rPr>
      <w:t>SCHOOL DATA LEADERSHIP ASSOCIATION  |  EXAMPLE 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42109458">
    <w:abstractNumId w:val="8"/>
  </w:num>
  <w:num w:numId="2" w16cid:durableId="1224675748">
    <w:abstractNumId w:val="6"/>
  </w:num>
  <w:num w:numId="3" w16cid:durableId="1091858067">
    <w:abstractNumId w:val="5"/>
  </w:num>
  <w:num w:numId="4" w16cid:durableId="633681223">
    <w:abstractNumId w:val="4"/>
  </w:num>
  <w:num w:numId="5" w16cid:durableId="1070032234">
    <w:abstractNumId w:val="7"/>
  </w:num>
  <w:num w:numId="6" w16cid:durableId="1834876961">
    <w:abstractNumId w:val="3"/>
  </w:num>
  <w:num w:numId="7" w16cid:durableId="107553760">
    <w:abstractNumId w:val="2"/>
  </w:num>
  <w:num w:numId="8" w16cid:durableId="941649264">
    <w:abstractNumId w:val="1"/>
  </w:num>
  <w:num w:numId="9" w16cid:durableId="102479284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1"/>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4DE1"/>
    <w:rsid w:val="00034616"/>
    <w:rsid w:val="0006063C"/>
    <w:rsid w:val="0015074B"/>
    <w:rsid w:val="0029639D"/>
    <w:rsid w:val="00326F90"/>
    <w:rsid w:val="008271F0"/>
    <w:rsid w:val="00A91A23"/>
    <w:rsid w:val="00AA1D8D"/>
    <w:rsid w:val="00B47730"/>
    <w:rsid w:val="00BB56FD"/>
    <w:rsid w:val="00C7230F"/>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6306BF"/>
  <w14:defaultImageDpi w14:val="300"/>
  <w15:docId w15:val="{0B011544-D1D3-5142-AEDD-E4317B6AA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4" w:lineRule="auto"/>
    </w:pPr>
    <w:rPr>
      <w:rFonts w:ascii="Aptos" w:hAnsi="Aptos"/>
      <w:color w:val="26383F"/>
      <w:sz w:val="21"/>
    </w:rPr>
  </w:style>
  <w:style w:type="paragraph" w:styleId="Heading1">
    <w:name w:val="heading 1"/>
    <w:basedOn w:val="Normal"/>
    <w:next w:val="Normal"/>
    <w:link w:val="Heading1Char"/>
    <w:uiPriority w:val="9"/>
    <w:qFormat/>
    <w:rsid w:val="00FC693F"/>
    <w:pPr>
      <w:keepNext/>
      <w:keepLines/>
      <w:spacing w:before="320" w:after="160"/>
      <w:outlineLvl w:val="0"/>
    </w:pPr>
    <w:rPr>
      <w:rFonts w:asciiTheme="majorHAnsi" w:eastAsiaTheme="majorEastAsia" w:hAnsiTheme="majorHAnsi" w:cstheme="majorBidi" w:ascii="Aptos Display" w:hAnsi="Aptos Display"/>
      <w:b/>
      <w:bCs/>
      <w:color w:val="315F74"/>
      <w:sz w:val="32"/>
      <w:szCs w:val="28"/>
    </w:rPr>
  </w:style>
  <w:style w:type="paragraph" w:styleId="Heading2">
    <w:name w:val="heading 2"/>
    <w:basedOn w:val="Normal"/>
    <w:next w:val="Normal"/>
    <w:link w:val="Heading2Char"/>
    <w:uiPriority w:val="9"/>
    <w:unhideWhenUsed/>
    <w:qFormat/>
    <w:rsid w:val="00FC693F"/>
    <w:pPr>
      <w:keepNext/>
      <w:keepLines/>
      <w:spacing w:before="220" w:after="100"/>
      <w:outlineLvl w:val="1"/>
    </w:pPr>
    <w:rPr>
      <w:rFonts w:asciiTheme="majorHAnsi" w:eastAsiaTheme="majorEastAsia" w:hAnsiTheme="majorHAnsi" w:cstheme="majorBidi" w:ascii="Aptos Display" w:hAnsi="Aptos Display"/>
      <w:b/>
      <w:bCs/>
      <w:color w:val="315F74"/>
      <w:sz w:val="24"/>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b/>
      <w:bCs/>
      <w:color w:val="244A5C"/>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80" w:line="254" w:lineRule="auto"/>
      <w:ind w:left="490" w:hanging="259"/>
      <w:contextualSpacing/>
    </w:pPr>
    <w:rPr>
      <w:rFonts w:ascii="Aptos" w:hAnsi="Aptos"/>
      <w:color w:val="26383F"/>
      <w:sz w:val="20"/>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2" Type="http://schemas.openxmlformats.org/officeDocument/2006/relationships/header" Target="header2.xml"/><Relationship Id="rId13"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1667</Words>
  <Characters>9504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11149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and Accountability Coordinator Example Job Description</dc:title>
  <dc:subject>Customizable school district Assessment Coordinator job description</dc:subject>
  <dc:creator>School Data Leadership Association</dc:creator>
  <cp:keywords>Assessment Coordinator, example job description, certificated management, SDLA</cp:keywords>
  <dc:description>Reference resource; not a job posting. Review and adapt locally before adoption.</dc:description>
  <cp:lastModifiedBy>Chris Moggia</cp:lastModifiedBy>
  <cp:revision>2</cp:revision>
  <dcterms:created xsi:type="dcterms:W3CDTF">2026-08-15T21:45:00Z</dcterms:created>
  <dcterms:modified xsi:type="dcterms:W3CDTF">2026-08-15T21:45:00Z</dcterms:modified>
  <cp:category/>
</cp:coreProperties>
</file>