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Administrator of Special Education Dispute Resolution</w:t>
      </w:r>
    </w:p>
    <w:p>
      <w:pPr>
        <w:spacing w:after="240"/>
      </w:pPr>
      <w:r>
        <w:rPr>
          <w:rFonts w:ascii="Aptos" w:hAnsi="Aptos"/>
          <w:b/>
          <w:color w:val="66747A"/>
          <w:sz w:val="24"/>
        </w:rPr>
        <w:t xml:space="preserve">Procedural Safeguards and Evidence Informed Prevention</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Administrator of Special Education Dispute Resolution leads assigned special education dispute prevention, complaint and resolution coordination, case evidence, and implementation follow-through. The district or employing agency should define the final portfolio, delegated authority, and relationships with other program owners.</w:t>
      </w:r>
    </w:p>
    <w:p>
      <w:r>
        <w:t xml:space="preserve">The position connects service and procedural evidence to constructive resolution and prevention; works with counsel and authorized teams while preserving family participation, procedural safeguards, and individualized decision authority.</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or Director of Special Education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special education, educational leadership, law, school psychology,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special education, educational leadership, law, school psychology,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special education administration, procedural safeguards, dispute coordination, and service-compliance improvement;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service evidence, recurring dispute concerns and corrective-action implementation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special education resolution tracker,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Prevention and Resolution Coordination</w:t>
      </w:r>
    </w:p>
    <w:p>
      <w:pPr>
        <w:pStyle w:val="ListBullet"/>
        <w:keepLines/>
      </w:pPr>
      <w:r>
        <w:t xml:space="preserve">Coordinate early concern resolution, family communication, complaint response, mediation preparation, and other assigned dispute processes with counsel.</w:t>
      </w:r>
    </w:p>
    <w:p>
      <w:pPr>
        <w:pStyle w:val="ListBullet"/>
        <w:keepLines/>
      </w:pPr>
      <w:r>
        <w:t xml:space="preserve">Support clear, accessible explanations and collaborative problem solving without discouraging lawful complaints or participation.</w:t>
      </w:r>
    </w:p>
    <w:p>
      <w:pPr>
        <w:pStyle w:val="ListBullet"/>
        <w:keepLines/>
      </w:pPr>
      <w:r>
        <w:t xml:space="preserve">Clarify case authority and support authorized IEP teams; do not replace individualized evaluation, eligibility, services, or placement decisions.</w:t>
      </w:r>
    </w:p>
    <w:p>
      <w:pPr>
        <w:pStyle w:val="Heading2"/>
        <w:keepNext/>
      </w:pPr>
      <w:r>
        <w:t xml:space="preserve">Case and Service Evidence</w:t>
      </w:r>
    </w:p>
    <w:p>
      <w:pPr>
        <w:pStyle w:val="ListBullet"/>
        <w:keepLines/>
      </w:pPr>
      <w:r>
        <w:t xml:space="preserve">Reconcile IEP documents, notices, evaluation records, service delivery, communication, and implementation evidence with responsible owners.</w:t>
      </w:r>
    </w:p>
    <w:p>
      <w:pPr>
        <w:pStyle w:val="ListBullet"/>
        <w:keepLines/>
      </w:pPr>
      <w:r>
        <w:t xml:space="preserve">Maintain secure chronology, obligations, evidence provenance, action owners, and status records; preserve relevant material under legal direction.</w:t>
      </w:r>
    </w:p>
    <w:p>
      <w:pPr>
        <w:pStyle w:val="ListBullet"/>
        <w:keepLines/>
      </w:pPr>
      <w:r>
        <w:t xml:space="preserve">Analyze recurring concerns and implementation gaps using appropriate denominators and context; distinguish allegations, findings, agreements, and verified corrections.</w:t>
      </w:r>
    </w:p>
    <w:p>
      <w:pPr>
        <w:pStyle w:val="Heading2"/>
        <w:keepNext/>
      </w:pPr>
      <w:r>
        <w:t xml:space="preserve">Safeguards and Responsible Records</w:t>
      </w:r>
    </w:p>
    <w:p>
      <w:pPr>
        <w:pStyle w:val="ListBullet"/>
        <w:keepLines/>
      </w:pPr>
      <w:r>
        <w:t xml:space="preserve">Verify current IDEA, California, procedural, agreement, and case-specific obligations with counsel and special education leaders.</w:t>
      </w:r>
    </w:p>
    <w:p>
      <w:pPr>
        <w:pStyle w:val="ListBullet"/>
        <w:keepLines/>
      </w:pPr>
      <w:r>
        <w:t xml:space="preserve">Control confidential and potentially privileged material under legal direction; separate operational reporting from protected legal communications.</w:t>
      </w:r>
    </w:p>
    <w:p>
      <w:pPr>
        <w:pStyle w:val="ListBullet"/>
        <w:keepLines/>
      </w:pPr>
      <w:r>
        <w:t xml:space="preserve">Review electronic IEP, case-management, and AI summary tools for record accuracy, confidentiality, and human verification; prohibit automated legal or team decisions.</w:t>
      </w:r>
    </w:p>
    <w:p>
      <w:pPr>
        <w:pStyle w:val="Heading2"/>
        <w:keepNext/>
      </w:pPr>
      <w:r>
        <w:t xml:space="preserve">Implementation and Learning</w:t>
      </w:r>
    </w:p>
    <w:p>
      <w:pPr>
        <w:pStyle w:val="ListBullet"/>
        <w:keepLines/>
      </w:pPr>
      <w:r>
        <w:t xml:space="preserve">Coordinate authorized agreement and corrective-action implementation with fiscal, HR, schools, providers, and service owners.</w:t>
      </w:r>
    </w:p>
    <w:p>
      <w:pPr>
        <w:pStyle w:val="ListBullet"/>
        <w:keepLines/>
      </w:pPr>
      <w:r>
        <w:t xml:space="preserve">Train staff on documentation, family partnership, procedural accuracy, and prevention; test whether underlying practices improve.</w:t>
      </w:r>
    </w:p>
    <w:p>
      <w:pPr>
        <w:pStyle w:val="ListBullet"/>
        <w:keepLines/>
      </w:pPr>
      <w:r>
        <w:t xml:space="preserve">Report authorized aggregate trends, implementation risks and verified follow-through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Special education administration, family partnership, dispute prevention, and coordinated resolution processes.</w:t>
      </w:r>
    </w:p>
    <w:p>
      <w:pPr>
        <w:pStyle w:val="ListBullet"/>
        <w:keepLines/>
      </w:pPr>
      <w:r>
        <w:t xml:space="preserve">IDEA and California procedural safeguards, individualized team authority, applicable complaint processes, and legal-review boundaries.</w:t>
      </w:r>
    </w:p>
    <w:p>
      <w:pPr>
        <w:pStyle w:val="ListBullet"/>
        <w:keepLines/>
      </w:pPr>
      <w:r>
        <w:t xml:space="preserve">Service evidence, case chronology, allegation versus finding distinctions, recurring patterns, and corrective-action verification.</w:t>
      </w:r>
    </w:p>
    <w:p>
      <w:pPr>
        <w:pStyle w:val="ListBullet"/>
        <w:keepLines/>
      </w:pPr>
      <w:r>
        <w:t xml:space="preserve">Electronic IEP and case systems, evidence preservation, restricted legal records, and responsible AI summaries.</w:t>
      </w:r>
    </w:p>
    <w:p>
      <w:pPr>
        <w:pStyle w:val="Heading2"/>
        <w:keepNext/>
      </w:pPr>
      <w:r>
        <w:t>Ability to</w:t>
      </w:r>
    </w:p>
    <w:p>
      <w:pPr>
        <w:pStyle w:val="ListBullet"/>
        <w:keepLines/>
      </w:pPr>
      <w:r>
        <w:t xml:space="preserve">Translate priorities in assigned special education dispute prevention, complaint and resolution coordination, case evidence, and implementation follow-through into feasible plans, clear responsibilities and measurable follow-through.</w:t>
      </w:r>
    </w:p>
    <w:p>
      <w:pPr>
        <w:pStyle w:val="ListBullet"/>
        <w:keepLines/>
      </w:pPr>
      <w:r>
        <w:t xml:space="preserve">Validate service evidence, recurring dispute concerns and corrective-action implementation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Administrator of Special Education Dispute Resolution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Administrator of Special Education Dispute Resolution</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