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spacing w:before="0" w:after="100" w:line="269" w:lineRule="auto"/>
      </w:pPr>
      <w:r>
        <w:rPr>
          <w:rFonts w:ascii="Aptos" w:hAnsi="Aptos"/>
          <w:b/>
          <w:i w:val="0"/>
          <w:color w:val="2E75B6"/>
          <w:sz w:val="17"/>
        </w:rPr>
        <w:t>SDLA RESOURCE #1B</w:t>
      </w:r>
    </w:p>
    <w:p>
      <w:pPr>
        <w:keepNext/>
        <w:spacing w:before="0" w:after="80" w:line="269" w:lineRule="auto"/>
        <w:pBdr>
          <w:bottom w:val="single" w:sz="12" w:space="5" w:color="2E75B6"/>
        </w:pBdr>
      </w:pPr>
      <w:r>
        <w:rPr>
          <w:rFonts w:ascii="Aptos" w:hAnsi="Aptos"/>
          <w:b/>
          <w:i w:val="0"/>
          <w:color w:val="173A5E"/>
          <w:sz w:val="46"/>
        </w:rPr>
        <w:t>Implementation Notes for the Annual Assessment Parent Letter</w:t>
      </w:r>
    </w:p>
    <w:p>
      <w:pPr>
        <w:keepNext w:val="0"/>
        <w:spacing w:before="0" w:after="200" w:line="269" w:lineRule="auto"/>
      </w:pPr>
      <w:r>
        <w:rPr>
          <w:rFonts w:ascii="Aptos" w:hAnsi="Aptos"/>
          <w:b w:val="0"/>
          <w:i w:val="0"/>
          <w:color w:val="5B6570"/>
          <w:sz w:val="20"/>
        </w:rPr>
        <w:t>Companion to SDLA Resource #1A · Baseline reviewed August 25, 2026</w:t>
      </w:r>
    </w:p>
    <w:tbl>
      <w:tblPr>
        <w:tblW w:type="dxa" w:w="9360"/>
        <w:jc w:val="center"/>
        <w:tblLayout w:type="fixed"/>
        <w:tblLook w:firstColumn="1" w:firstRow="1" w:lastColumn="0" w:lastRow="0" w:noHBand="0" w:noVBand="1" w:val="04A0"/>
        <w:tblInd w:w="120" w:type="dxa"/>
      </w:tblPr>
      <w:tblGrid>
        <w:gridCol w:w="9360"/>
      </w:tblGrid>
      <w:tr>
        <w:tc>
          <w:tcPr>
            <w:tcW w:type="dxa" w:w="9360"/>
            <w:vAlign w:val="center"/>
            <w:tcMar>
              <w:top w:w="90" w:type="dxa"/>
              <w:start w:w="120" w:type="dxa"/>
              <w:bottom w:w="90" w:type="dxa"/>
              <w:end w:w="120" w:type="dxa"/>
            </w:tcMar>
            <w:shd w:fill="FFF4DD"/>
          </w:tcPr>
          <w:p>
            <w:pPr>
              <w:spacing w:after="0" w:line="259" w:lineRule="auto"/>
            </w:pPr>
            <w:r>
              <w:rPr>
                <w:rFonts w:ascii="Aptos" w:hAnsi="Aptos"/>
                <w:b/>
                <w:i w:val="0"/>
                <w:color w:val="9A6700"/>
                <w:sz w:val="20"/>
              </w:rPr>
              <w:t xml:space="preserve">Internal implementation resource. </w:t>
            </w:r>
            <w:r>
              <w:rPr>
                <w:rFonts w:ascii="Aptos" w:hAnsi="Aptos"/>
                <w:b w:val="0"/>
                <w:i w:val="0"/>
                <w:color w:val="222222"/>
                <w:sz w:val="20"/>
              </w:rPr>
              <w:t>Resource #1A is an adaptable starting point—not a district-approved notice. Resolve every local field, validate the content against current requirements and local practice, and obtain the LEA’s required approval before distribution.</w:t>
            </w:r>
          </w:p>
        </w:tc>
      </w:tr>
    </w:tbl>
    <w:p>
      <w:pPr>
        <w:spacing w:after="0"/>
      </w:pPr>
    </w:p>
    <w:p>
      <w:pPr>
        <w:pStyle w:val="Heading1"/>
        <w:keepNext/>
      </w:pPr>
      <w:r>
        <w:rPr>
          <w:rFonts w:ascii="Aptos" w:hAnsi="Aptos"/>
          <w:b/>
          <w:i w:val="0"/>
          <w:color w:val="173A5E"/>
          <w:sz w:val="32"/>
        </w:rPr>
        <w:t>Purpose and intended use</w:t>
      </w:r>
    </w:p>
    <w:p>
      <w:pPr>
        <w:keepNext w:val="0"/>
        <w:spacing w:before="0" w:after="120" w:line="269" w:lineRule="auto"/>
      </w:pPr>
      <w:r>
        <w:rPr>
          <w:rFonts w:ascii="Aptos" w:hAnsi="Aptos"/>
          <w:b w:val="0"/>
          <w:i w:val="0"/>
          <w:color w:val="222222"/>
          <w:sz w:val="21"/>
        </w:rPr>
        <w:t>Resource #1A brings multiple statewide assessment and screening explanations into one family-facing starting point. Resource #1B is the internal control document used to customize, validate, approve, distribute, and annually maintain that letter.</w:t>
      </w:r>
    </w:p>
    <w:p>
      <w:pPr>
        <w:keepNext w:val="0"/>
        <w:spacing w:before="0" w:after="120" w:line="269" w:lineRule="auto"/>
      </w:pPr>
      <w:r>
        <w:rPr>
          <w:rFonts w:ascii="Aptos" w:hAnsi="Aptos"/>
          <w:b w:val="0"/>
          <w:i w:val="0"/>
          <w:color w:val="222222"/>
          <w:sz w:val="21"/>
        </w:rPr>
        <w:t>Use the pair during annual assessment-notification planning, when coordinating separate program communications, or whenever changes in law, state guidance, local programs, testing windows, or district practice require the prior year’s notice to be revalidated.</w:t>
      </w:r>
    </w:p>
    <w:p>
      <w:pPr>
        <w:pStyle w:val="Heading1"/>
        <w:keepNext/>
      </w:pPr>
      <w:r>
        <w:rPr>
          <w:rFonts w:ascii="Aptos" w:hAnsi="Aptos"/>
          <w:b/>
          <w:i w:val="0"/>
          <w:color w:val="173A5E"/>
          <w:sz w:val="32"/>
        </w:rPr>
        <w:t>Section-by-section customization map</w:t>
      </w:r>
    </w:p>
    <w:tbl>
      <w:tblPr>
        <w:tblW w:type="dxa" w:w="9360"/>
        <w:jc w:val="center"/>
        <w:tblLayout w:type="fixed"/>
        <w:tblLook w:firstColumn="1" w:firstRow="1" w:lastColumn="0" w:lastRow="0" w:noHBand="0" w:noVBand="1" w:val="04A0"/>
        <w:tblInd w:w="120" w:type="dxa"/>
      </w:tblPr>
      <w:tblGrid>
        <w:gridCol w:w="2300"/>
        <w:gridCol w:w="3530"/>
        <w:gridCol w:w="3530"/>
      </w:tblGrid>
      <w:tr>
        <w:trPr>
          <w:tblHeader w:val="true"/>
        </w:trPr>
        <w:tc>
          <w:tcPr>
            <w:tcW w:type="dxa" w:w="2300"/>
            <w:shd w:fill="173A5E"/>
            <w:vAlign w:val="center"/>
            <w:tcMar>
              <w:top w:w="90" w:type="dxa"/>
              <w:start w:w="120" w:type="dxa"/>
              <w:bottom w:w="90" w:type="dxa"/>
              <w:end w:w="120" w:type="dxa"/>
            </w:tcMar>
          </w:tcPr>
          <w:p>
            <w:pPr>
              <w:spacing w:after="0" w:line="259" w:lineRule="auto"/>
            </w:pPr>
            <w:r/>
            <w:r>
              <w:rPr>
                <w:rFonts w:ascii="Aptos" w:hAnsi="Aptos"/>
                <w:b/>
                <w:i w:val="0"/>
                <w:color w:val="FFFFFF"/>
                <w:sz w:val="18"/>
              </w:rPr>
              <w:t>Resource #1A section</w:t>
            </w:r>
          </w:p>
        </w:tc>
        <w:tc>
          <w:tcPr>
            <w:tcW w:type="dxa" w:w="3530"/>
            <w:shd w:fill="173A5E"/>
            <w:vAlign w:val="center"/>
            <w:tcMar>
              <w:top w:w="90" w:type="dxa"/>
              <w:start w:w="120" w:type="dxa"/>
              <w:bottom w:w="90" w:type="dxa"/>
              <w:end w:w="120" w:type="dxa"/>
            </w:tcMar>
          </w:tcPr>
          <w:p>
            <w:pPr>
              <w:spacing w:after="0" w:line="259" w:lineRule="auto"/>
            </w:pPr>
            <w:r/>
            <w:r>
              <w:rPr>
                <w:rFonts w:ascii="Aptos" w:hAnsi="Aptos"/>
                <w:b/>
                <w:i w:val="0"/>
                <w:color w:val="FFFFFF"/>
                <w:sz w:val="18"/>
              </w:rPr>
              <w:t>Local action</w:t>
            </w:r>
          </w:p>
        </w:tc>
        <w:tc>
          <w:tcPr>
            <w:tcW w:type="dxa" w:w="3530"/>
            <w:shd w:fill="173A5E"/>
            <w:vAlign w:val="center"/>
            <w:tcMar>
              <w:top w:w="90" w:type="dxa"/>
              <w:start w:w="120" w:type="dxa"/>
              <w:bottom w:w="90" w:type="dxa"/>
              <w:end w:w="120" w:type="dxa"/>
            </w:tcMar>
          </w:tcPr>
          <w:p>
            <w:pPr>
              <w:spacing w:after="0" w:line="259" w:lineRule="auto"/>
            </w:pPr>
            <w:r/>
            <w:r>
              <w:rPr>
                <w:rFonts w:ascii="Aptos" w:hAnsi="Aptos"/>
                <w:b/>
                <w:i w:val="0"/>
                <w:color w:val="FFFFFF"/>
                <w:sz w:val="18"/>
              </w:rPr>
              <w:t>Release rule</w:t>
            </w:r>
          </w:p>
        </w:tc>
      </w:tr>
      <w:tr>
        <w:tc>
          <w:tcPr>
            <w:tcW w:type="dxa" w:w="2300"/>
            <w:vAlign w:val="center"/>
            <w:tcMar>
              <w:top w:w="90" w:type="dxa"/>
              <w:start w:w="120" w:type="dxa"/>
              <w:bottom w:w="90" w:type="dxa"/>
              <w:end w:w="120" w:type="dxa"/>
            </w:tcMar>
          </w:tcPr>
          <w:p>
            <w:pPr>
              <w:spacing w:after="0" w:line="259" w:lineRule="auto"/>
            </w:pPr>
            <w:r/>
            <w:r>
              <w:rPr>
                <w:rFonts w:ascii="Aptos" w:hAnsi="Aptos"/>
                <w:b w:val="0"/>
                <w:i w:val="0"/>
                <w:color w:val="222222"/>
                <w:sz w:val="17"/>
              </w:rPr>
              <w:t>District identity and contacts</w:t>
            </w:r>
          </w:p>
        </w:tc>
        <w:tc>
          <w:tcPr>
            <w:tcW w:type="dxa" w:w="3530"/>
            <w:vAlign w:val="center"/>
            <w:tcMar>
              <w:top w:w="90" w:type="dxa"/>
              <w:start w:w="120" w:type="dxa"/>
              <w:bottom w:w="90" w:type="dxa"/>
              <w:end w:w="120" w:type="dxa"/>
            </w:tcMar>
          </w:tcPr>
          <w:p>
            <w:pPr>
              <w:spacing w:after="0" w:line="259" w:lineRule="auto"/>
            </w:pPr>
            <w:r/>
            <w:r>
              <w:rPr>
                <w:rFonts w:ascii="Aptos" w:hAnsi="Aptos"/>
                <w:b w:val="0"/>
                <w:i w:val="0"/>
                <w:color w:val="222222"/>
                <w:sz w:val="17"/>
              </w:rPr>
              <w:t>Replace every highlighted field.</w:t>
            </w:r>
          </w:p>
        </w:tc>
        <w:tc>
          <w:tcPr>
            <w:tcW w:type="dxa" w:w="3530"/>
            <w:vAlign w:val="center"/>
            <w:tcMar>
              <w:top w:w="90" w:type="dxa"/>
              <w:start w:w="120" w:type="dxa"/>
              <w:bottom w:w="90" w:type="dxa"/>
              <w:end w:w="120" w:type="dxa"/>
            </w:tcMar>
          </w:tcPr>
          <w:p>
            <w:pPr>
              <w:spacing w:after="0" w:line="259" w:lineRule="auto"/>
            </w:pPr>
            <w:r/>
            <w:r>
              <w:rPr>
                <w:rFonts w:ascii="Aptos" w:hAnsi="Aptos"/>
                <w:b w:val="0"/>
                <w:i w:val="0"/>
                <w:color w:val="222222"/>
                <w:sz w:val="17"/>
              </w:rPr>
              <w:t>Always required.</w:t>
            </w:r>
          </w:p>
        </w:tc>
      </w:tr>
      <w:tr>
        <w:tc>
          <w:tcPr>
            <w:tcW w:type="dxa" w:w="2300"/>
            <w:vAlign w:val="center"/>
            <w:tcMar>
              <w:top w:w="90" w:type="dxa"/>
              <w:start w:w="120" w:type="dxa"/>
              <w:bottom w:w="90" w:type="dxa"/>
              <w:end w:w="120" w:type="dxa"/>
            </w:tcMar>
          </w:tcPr>
          <w:p>
            <w:pPr>
              <w:spacing w:after="0" w:line="259" w:lineRule="auto"/>
            </w:pPr>
            <w:r/>
            <w:r>
              <w:rPr>
                <w:rFonts w:ascii="Aptos" w:hAnsi="Aptos"/>
                <w:b w:val="0"/>
                <w:i w:val="0"/>
                <w:color w:val="222222"/>
                <w:sz w:val="17"/>
              </w:rPr>
              <w:t>CAASPP and exemption right</w:t>
            </w:r>
          </w:p>
        </w:tc>
        <w:tc>
          <w:tcPr>
            <w:tcW w:type="dxa" w:w="3530"/>
            <w:vAlign w:val="center"/>
            <w:tcMar>
              <w:top w:w="90" w:type="dxa"/>
              <w:start w:w="120" w:type="dxa"/>
              <w:bottom w:w="90" w:type="dxa"/>
              <w:end w:w="120" w:type="dxa"/>
            </w:tcMar>
          </w:tcPr>
          <w:p>
            <w:pPr>
              <w:spacing w:after="0" w:line="259" w:lineRule="auto"/>
            </w:pPr>
            <w:r/>
            <w:r>
              <w:rPr>
                <w:rFonts w:ascii="Aptos" w:hAnsi="Aptos"/>
                <w:b w:val="0"/>
                <w:i w:val="0"/>
                <w:color w:val="222222"/>
                <w:sz w:val="17"/>
              </w:rPr>
              <w:t>Validate current participation and exemption language.</w:t>
            </w:r>
          </w:p>
        </w:tc>
        <w:tc>
          <w:tcPr>
            <w:tcW w:type="dxa" w:w="3530"/>
            <w:vAlign w:val="center"/>
            <w:tcMar>
              <w:top w:w="90" w:type="dxa"/>
              <w:start w:w="120" w:type="dxa"/>
              <w:bottom w:w="90" w:type="dxa"/>
              <w:end w:w="120" w:type="dxa"/>
            </w:tcMar>
          </w:tcPr>
          <w:p>
            <w:pPr>
              <w:spacing w:after="0" w:line="259" w:lineRule="auto"/>
            </w:pPr>
            <w:r/>
            <w:r>
              <w:rPr>
                <w:rFonts w:ascii="Aptos" w:hAnsi="Aptos"/>
                <w:b w:val="0"/>
                <w:i w:val="0"/>
                <w:color w:val="222222"/>
                <w:sz w:val="17"/>
              </w:rPr>
              <w:t>Retain when CAASPP applies; ensure the exemption process is locally usable.</w:t>
            </w:r>
          </w:p>
        </w:tc>
      </w:tr>
      <w:tr>
        <w:tc>
          <w:tcPr>
            <w:tcW w:type="dxa" w:w="2300"/>
            <w:vAlign w:val="center"/>
            <w:tcMar>
              <w:top w:w="90" w:type="dxa"/>
              <w:start w:w="120" w:type="dxa"/>
              <w:bottom w:w="90" w:type="dxa"/>
              <w:end w:w="120" w:type="dxa"/>
            </w:tcMar>
          </w:tcPr>
          <w:p>
            <w:pPr>
              <w:spacing w:after="0" w:line="259" w:lineRule="auto"/>
            </w:pPr>
            <w:r/>
            <w:r>
              <w:rPr>
                <w:rFonts w:ascii="Aptos" w:hAnsi="Aptos"/>
                <w:b w:val="0"/>
                <w:i w:val="0"/>
                <w:color w:val="222222"/>
                <w:sz w:val="17"/>
              </w:rPr>
              <w:t>ELPAC and Alternate ELPAC</w:t>
            </w:r>
          </w:p>
        </w:tc>
        <w:tc>
          <w:tcPr>
            <w:tcW w:type="dxa" w:w="3530"/>
            <w:vAlign w:val="center"/>
            <w:tcMar>
              <w:top w:w="90" w:type="dxa"/>
              <w:start w:w="120" w:type="dxa"/>
              <w:bottom w:w="90" w:type="dxa"/>
              <w:end w:w="120" w:type="dxa"/>
            </w:tcMar>
          </w:tcPr>
          <w:p>
            <w:pPr>
              <w:spacing w:after="0" w:line="259" w:lineRule="auto"/>
            </w:pPr>
            <w:r/>
            <w:r>
              <w:rPr>
                <w:rFonts w:ascii="Aptos" w:hAnsi="Aptos"/>
                <w:b w:val="0"/>
                <w:i w:val="0"/>
                <w:color w:val="222222"/>
                <w:sz w:val="17"/>
              </w:rPr>
              <w:t>Validate eligibility, local contacts, and accessibility terminology.</w:t>
            </w:r>
          </w:p>
        </w:tc>
        <w:tc>
          <w:tcPr>
            <w:tcW w:type="dxa" w:w="3530"/>
            <w:vAlign w:val="center"/>
            <w:tcMar>
              <w:top w:w="90" w:type="dxa"/>
              <w:start w:w="120" w:type="dxa"/>
              <w:bottom w:w="90" w:type="dxa"/>
              <w:end w:w="120" w:type="dxa"/>
            </w:tcMar>
          </w:tcPr>
          <w:p>
            <w:pPr>
              <w:spacing w:after="0" w:line="259" w:lineRule="auto"/>
            </w:pPr>
            <w:r/>
            <w:r>
              <w:rPr>
                <w:rFonts w:ascii="Aptos" w:hAnsi="Aptos"/>
                <w:b w:val="0"/>
                <w:i w:val="0"/>
                <w:color w:val="222222"/>
                <w:sz w:val="17"/>
              </w:rPr>
              <w:t>Retain the portions applicable to the LEA’s students.</w:t>
            </w:r>
          </w:p>
        </w:tc>
      </w:tr>
      <w:tr>
        <w:tc>
          <w:tcPr>
            <w:tcW w:type="dxa" w:w="2300"/>
            <w:vAlign w:val="center"/>
            <w:tcMar>
              <w:top w:w="90" w:type="dxa"/>
              <w:start w:w="120" w:type="dxa"/>
              <w:bottom w:w="90" w:type="dxa"/>
              <w:end w:w="120" w:type="dxa"/>
            </w:tcMar>
          </w:tcPr>
          <w:p>
            <w:pPr>
              <w:spacing w:after="0" w:line="259" w:lineRule="auto"/>
            </w:pPr>
            <w:r/>
            <w:r>
              <w:rPr>
                <w:rFonts w:ascii="Aptos" w:hAnsi="Aptos"/>
                <w:b w:val="0"/>
                <w:i w:val="0"/>
                <w:color w:val="222222"/>
                <w:sz w:val="17"/>
              </w:rPr>
              <w:t>Physical Fitness Test</w:t>
            </w:r>
          </w:p>
        </w:tc>
        <w:tc>
          <w:tcPr>
            <w:tcW w:type="dxa" w:w="3530"/>
            <w:vAlign w:val="center"/>
            <w:tcMar>
              <w:top w:w="90" w:type="dxa"/>
              <w:start w:w="120" w:type="dxa"/>
              <w:bottom w:w="90" w:type="dxa"/>
              <w:end w:w="120" w:type="dxa"/>
            </w:tcMar>
          </w:tcPr>
          <w:p>
            <w:pPr>
              <w:spacing w:after="0" w:line="259" w:lineRule="auto"/>
            </w:pPr>
            <w:r/>
            <w:r>
              <w:rPr>
                <w:rFonts w:ascii="Aptos" w:hAnsi="Aptos"/>
                <w:b w:val="0"/>
                <w:i w:val="0"/>
                <w:color w:val="222222"/>
                <w:sz w:val="17"/>
              </w:rPr>
              <w:t>Insert the local window and responsible contact.</w:t>
            </w:r>
          </w:p>
        </w:tc>
        <w:tc>
          <w:tcPr>
            <w:tcW w:type="dxa" w:w="3530"/>
            <w:vAlign w:val="center"/>
            <w:tcMar>
              <w:top w:w="90" w:type="dxa"/>
              <w:start w:w="120" w:type="dxa"/>
              <w:bottom w:w="90" w:type="dxa"/>
              <w:end w:w="120" w:type="dxa"/>
            </w:tcMar>
          </w:tcPr>
          <w:p>
            <w:pPr>
              <w:spacing w:after="0" w:line="259" w:lineRule="auto"/>
            </w:pPr>
            <w:r/>
            <w:r>
              <w:rPr>
                <w:rFonts w:ascii="Aptos" w:hAnsi="Aptos"/>
                <w:b w:val="0"/>
                <w:i w:val="0"/>
                <w:color w:val="222222"/>
                <w:sz w:val="17"/>
              </w:rPr>
              <w:t>Retain for grades and schools to which it applies.</w:t>
            </w:r>
          </w:p>
        </w:tc>
      </w:tr>
      <w:tr>
        <w:tc>
          <w:tcPr>
            <w:tcW w:type="dxa" w:w="2300"/>
            <w:vAlign w:val="center"/>
            <w:tcMar>
              <w:top w:w="90" w:type="dxa"/>
              <w:start w:w="120" w:type="dxa"/>
              <w:bottom w:w="90" w:type="dxa"/>
              <w:end w:w="120" w:type="dxa"/>
            </w:tcMar>
          </w:tcPr>
          <w:p>
            <w:pPr>
              <w:spacing w:after="0" w:line="259" w:lineRule="auto"/>
            </w:pPr>
            <w:r/>
            <w:r>
              <w:rPr>
                <w:rFonts w:ascii="Aptos" w:hAnsi="Aptos"/>
                <w:b w:val="0"/>
                <w:i w:val="0"/>
                <w:color w:val="222222"/>
                <w:sz w:val="17"/>
              </w:rPr>
              <w:t>Reading-difficulties screening</w:t>
            </w:r>
          </w:p>
        </w:tc>
        <w:tc>
          <w:tcPr>
            <w:tcW w:type="dxa" w:w="3530"/>
            <w:vAlign w:val="center"/>
            <w:tcMar>
              <w:top w:w="90" w:type="dxa"/>
              <w:start w:w="120" w:type="dxa"/>
              <w:bottom w:w="90" w:type="dxa"/>
              <w:end w:w="120" w:type="dxa"/>
            </w:tcMar>
          </w:tcPr>
          <w:p>
            <w:pPr>
              <w:spacing w:after="0" w:line="259" w:lineRule="auto"/>
            </w:pPr>
            <w:r/>
            <w:r>
              <w:rPr>
                <w:rFonts w:ascii="Aptos" w:hAnsi="Aptos"/>
                <w:b w:val="0"/>
                <w:i w:val="0"/>
                <w:color w:val="222222"/>
                <w:sz w:val="17"/>
              </w:rPr>
              <w:t>Insert adopted screener, window, notice process, and results contact.</w:t>
            </w:r>
          </w:p>
        </w:tc>
        <w:tc>
          <w:tcPr>
            <w:tcW w:type="dxa" w:w="3530"/>
            <w:vAlign w:val="center"/>
            <w:tcMar>
              <w:top w:w="90" w:type="dxa"/>
              <w:start w:w="120" w:type="dxa"/>
              <w:bottom w:w="90" w:type="dxa"/>
              <w:end w:w="120" w:type="dxa"/>
            </w:tcMar>
          </w:tcPr>
          <w:p>
            <w:pPr>
              <w:spacing w:after="0" w:line="259" w:lineRule="auto"/>
            </w:pPr>
            <w:r/>
            <w:r>
              <w:rPr>
                <w:rFonts w:ascii="Aptos" w:hAnsi="Aptos"/>
                <w:b w:val="0"/>
                <w:i w:val="0"/>
                <w:color w:val="222222"/>
                <w:sz w:val="17"/>
              </w:rPr>
              <w:t>Retain for LEAs serving kindergarten or grades 1–2.</w:t>
            </w:r>
          </w:p>
        </w:tc>
      </w:tr>
      <w:tr>
        <w:tc>
          <w:tcPr>
            <w:tcW w:type="dxa" w:w="2300"/>
            <w:vAlign w:val="center"/>
            <w:tcMar>
              <w:top w:w="90" w:type="dxa"/>
              <w:start w:w="120" w:type="dxa"/>
              <w:bottom w:w="90" w:type="dxa"/>
              <w:end w:w="120" w:type="dxa"/>
            </w:tcMar>
          </w:tcPr>
          <w:p>
            <w:pPr>
              <w:spacing w:after="0" w:line="259" w:lineRule="auto"/>
            </w:pPr>
            <w:r/>
            <w:r>
              <w:rPr>
                <w:rFonts w:ascii="Aptos" w:hAnsi="Aptos"/>
                <w:b w:val="0"/>
                <w:i w:val="0"/>
                <w:color w:val="222222"/>
                <w:sz w:val="17"/>
              </w:rPr>
              <w:t>CSA and selected programs</w:t>
            </w:r>
          </w:p>
        </w:tc>
        <w:tc>
          <w:tcPr>
            <w:tcW w:type="dxa" w:w="3530"/>
            <w:vAlign w:val="center"/>
            <w:tcMar>
              <w:top w:w="90" w:type="dxa"/>
              <w:start w:w="120" w:type="dxa"/>
              <w:bottom w:w="90" w:type="dxa"/>
              <w:end w:w="120" w:type="dxa"/>
            </w:tcMar>
          </w:tcPr>
          <w:p>
            <w:pPr>
              <w:spacing w:after="0" w:line="259" w:lineRule="auto"/>
            </w:pPr>
            <w:r/>
            <w:r>
              <w:rPr>
                <w:rFonts w:ascii="Aptos" w:hAnsi="Aptos"/>
                <w:b w:val="0"/>
                <w:i w:val="0"/>
                <w:color w:val="222222"/>
                <w:sz w:val="17"/>
              </w:rPr>
              <w:t>Confirm whether offered or selected.</w:t>
            </w:r>
          </w:p>
        </w:tc>
        <w:tc>
          <w:tcPr>
            <w:tcW w:type="dxa" w:w="3530"/>
            <w:vAlign w:val="center"/>
            <w:tcMar>
              <w:top w:w="90" w:type="dxa"/>
              <w:start w:w="120" w:type="dxa"/>
              <w:bottom w:w="90" w:type="dxa"/>
              <w:end w:w="120" w:type="dxa"/>
            </w:tcMar>
          </w:tcPr>
          <w:p>
            <w:pPr>
              <w:spacing w:after="0" w:line="259" w:lineRule="auto"/>
            </w:pPr>
            <w:r/>
            <w:r>
              <w:rPr>
                <w:rFonts w:ascii="Aptos" w:hAnsi="Aptos"/>
                <w:b w:val="0"/>
                <w:i w:val="0"/>
                <w:color w:val="222222"/>
                <w:sz w:val="17"/>
              </w:rPr>
              <w:t>Remove any nonapplicable section before release.</w:t>
            </w:r>
          </w:p>
        </w:tc>
      </w:tr>
    </w:tbl>
    <w:p>
      <w:pPr>
        <w:pStyle w:val="Heading1"/>
        <w:keepNext/>
      </w:pPr>
      <w:r>
        <w:rPr>
          <w:rFonts w:ascii="Aptos" w:hAnsi="Aptos"/>
          <w:b/>
          <w:i w:val="0"/>
          <w:color w:val="173A5E"/>
          <w:sz w:val="32"/>
        </w:rPr>
        <w:t>Required customization before review</w:t>
      </w:r>
    </w:p>
    <w:p>
      <w:pPr>
        <w:spacing w:after="60" w:line="259" w:lineRule="auto"/>
        <w:ind w:left="72" w:hanging="29"/>
      </w:pPr>
      <w:r>
        <w:rPr>
          <w:rFonts w:ascii="Aptos" w:hAnsi="Aptos"/>
          <w:b w:val="0"/>
          <w:i w:val="0"/>
          <w:color w:val="173A5E"/>
          <w:sz w:val="21"/>
        </w:rPr>
        <w:t xml:space="preserve">☐  </w:t>
      </w:r>
      <w:r>
        <w:rPr>
          <w:rFonts w:ascii="Aptos" w:hAnsi="Aptos"/>
          <w:b w:val="0"/>
          <w:i w:val="0"/>
          <w:color w:val="222222"/>
          <w:sz w:val="19"/>
        </w:rPr>
        <w:t>Replace every highlighted field, remove every unresolved drafting instruction, and verify all links, schedules, telephone numbers, and staff contacts.</w:t>
      </w:r>
    </w:p>
    <w:p>
      <w:pPr>
        <w:spacing w:after="60" w:line="259" w:lineRule="auto"/>
        <w:ind w:left="72" w:hanging="29"/>
      </w:pPr>
      <w:r>
        <w:rPr>
          <w:rFonts w:ascii="Aptos" w:hAnsi="Aptos"/>
          <w:b w:val="0"/>
          <w:i w:val="0"/>
          <w:color w:val="173A5E"/>
          <w:sz w:val="21"/>
        </w:rPr>
        <w:t xml:space="preserve">☐  </w:t>
      </w:r>
      <w:r>
        <w:rPr>
          <w:rFonts w:ascii="Aptos" w:hAnsi="Aptos"/>
          <w:b w:val="0"/>
          <w:i w:val="0"/>
          <w:color w:val="222222"/>
          <w:sz w:val="19"/>
        </w:rPr>
        <w:t>Match the LEA’s actual assessment program, grade configurations, optional programs, and adopted screening instrument.</w:t>
      </w:r>
    </w:p>
    <w:p>
      <w:pPr>
        <w:spacing w:after="60" w:line="259" w:lineRule="auto"/>
        <w:ind w:left="72" w:hanging="29"/>
      </w:pPr>
      <w:r>
        <w:rPr>
          <w:rFonts w:ascii="Aptos" w:hAnsi="Aptos"/>
          <w:b w:val="0"/>
          <w:i w:val="0"/>
          <w:color w:val="173A5E"/>
          <w:sz w:val="21"/>
        </w:rPr>
        <w:t xml:space="preserve">☐  </w:t>
      </w:r>
      <w:r>
        <w:rPr>
          <w:rFonts w:ascii="Aptos" w:hAnsi="Aptos"/>
          <w:b w:val="0"/>
          <w:i w:val="0"/>
          <w:color w:val="222222"/>
          <w:sz w:val="19"/>
        </w:rPr>
        <w:t>Confirm family rights and participation language separately for each assessment or screening.</w:t>
      </w:r>
    </w:p>
    <w:p>
      <w:pPr>
        <w:spacing w:after="60" w:line="259" w:lineRule="auto"/>
        <w:ind w:left="72" w:hanging="29"/>
      </w:pPr>
      <w:r>
        <w:rPr>
          <w:rFonts w:ascii="Aptos" w:hAnsi="Aptos"/>
          <w:b w:val="0"/>
          <w:i w:val="0"/>
          <w:color w:val="173A5E"/>
          <w:sz w:val="21"/>
        </w:rPr>
        <w:t xml:space="preserve">☐  </w:t>
      </w:r>
      <w:r>
        <w:rPr>
          <w:rFonts w:ascii="Aptos" w:hAnsi="Aptos"/>
          <w:b w:val="0"/>
          <w:i w:val="0"/>
          <w:color w:val="222222"/>
          <w:sz w:val="19"/>
        </w:rPr>
        <w:t>Align schedules, devices, locations, accessibility resources, accommodations, make-up practices, and contact pathways with local administration.</w:t>
      </w:r>
    </w:p>
    <w:p>
      <w:pPr>
        <w:spacing w:after="60" w:line="259" w:lineRule="auto"/>
        <w:ind w:left="72" w:hanging="29"/>
      </w:pPr>
      <w:r>
        <w:rPr>
          <w:rFonts w:ascii="Aptos" w:hAnsi="Aptos"/>
          <w:b w:val="0"/>
          <w:i w:val="0"/>
          <w:color w:val="173A5E"/>
          <w:sz w:val="21"/>
        </w:rPr>
        <w:t xml:space="preserve">☐  </w:t>
      </w:r>
      <w:r>
        <w:rPr>
          <w:rFonts w:ascii="Aptos" w:hAnsi="Aptos"/>
          <w:b w:val="0"/>
          <w:i w:val="0"/>
          <w:color w:val="222222"/>
          <w:sz w:val="19"/>
        </w:rPr>
        <w:t>Prepare translations and accessible electronic and print formats under local language-access and accessibility procedures.</w:t>
      </w:r>
    </w:p>
    <w:p>
      <w:pPr>
        <w:pStyle w:val="Heading1"/>
        <w:keepNext/>
      </w:pPr>
      <w:r>
        <w:rPr>
          <w:rFonts w:ascii="Aptos" w:hAnsi="Aptos"/>
          <w:b/>
          <w:i w:val="0"/>
          <w:color w:val="173A5E"/>
          <w:sz w:val="32"/>
        </w:rPr>
        <w:t>District leadership validation</w:t>
      </w:r>
    </w:p>
    <w:p>
      <w:pPr>
        <w:keepNext w:val="0"/>
        <w:spacing w:before="0" w:after="120" w:line="269" w:lineRule="auto"/>
      </w:pPr>
      <w:r>
        <w:rPr>
          <w:rFonts w:ascii="Aptos" w:hAnsi="Aptos"/>
          <w:b w:val="0"/>
          <w:i w:val="0"/>
          <w:color w:val="222222"/>
          <w:sz w:val="21"/>
        </w:rPr>
        <w:t>Route the customized letter through the LEA’s established approval process. Collectively, the review should cover legal accuracy, program accuracy, communications quality, accessibility, language access, operational readiness, and final authority to disseminate.</w:t>
      </w:r>
    </w:p>
    <w:tbl>
      <w:tblPr>
        <w:tblW w:type="dxa" w:w="9360"/>
        <w:jc w:val="center"/>
        <w:tblLayout w:type="fixed"/>
        <w:tblLook w:firstColumn="1" w:firstRow="1" w:lastColumn="0" w:lastRow="0" w:noHBand="0" w:noVBand="1" w:val="04A0"/>
        <w:tblInd w:w="120" w:type="dxa"/>
      </w:tblPr>
      <w:tblGrid>
        <w:gridCol w:w="2300"/>
        <w:gridCol w:w="5860"/>
        <w:gridCol w:w="1200"/>
      </w:tblGrid>
      <w:tr>
        <w:trPr>
          <w:tblHeader w:val="true"/>
        </w:trPr>
        <w:tc>
          <w:tcPr>
            <w:tcW w:type="dxa" w:w="2300"/>
            <w:shd w:fill="173A5E"/>
            <w:vAlign w:val="center"/>
            <w:tcMar>
              <w:top w:w="90" w:type="dxa"/>
              <w:start w:w="120" w:type="dxa"/>
              <w:bottom w:w="90" w:type="dxa"/>
              <w:end w:w="120" w:type="dxa"/>
            </w:tcMar>
          </w:tcPr>
          <w:p>
            <w:pPr>
              <w:spacing w:after="0" w:line="259" w:lineRule="auto"/>
            </w:pPr>
            <w:r/>
            <w:r>
              <w:rPr>
                <w:rFonts w:ascii="Aptos" w:hAnsi="Aptos"/>
                <w:b/>
                <w:i w:val="0"/>
                <w:color w:val="FFFFFF"/>
                <w:sz w:val="18"/>
              </w:rPr>
              <w:t>Review area</w:t>
            </w:r>
          </w:p>
        </w:tc>
        <w:tc>
          <w:tcPr>
            <w:tcW w:type="dxa" w:w="5860"/>
            <w:shd w:fill="173A5E"/>
            <w:vAlign w:val="center"/>
            <w:tcMar>
              <w:top w:w="90" w:type="dxa"/>
              <w:start w:w="120" w:type="dxa"/>
              <w:bottom w:w="90" w:type="dxa"/>
              <w:end w:w="120" w:type="dxa"/>
            </w:tcMar>
          </w:tcPr>
          <w:p>
            <w:pPr>
              <w:spacing w:after="0" w:line="259" w:lineRule="auto"/>
            </w:pPr>
            <w:r/>
            <w:r>
              <w:rPr>
                <w:rFonts w:ascii="Aptos" w:hAnsi="Aptos"/>
                <w:b/>
                <w:i w:val="0"/>
                <w:color w:val="FFFFFF"/>
                <w:sz w:val="18"/>
              </w:rPr>
              <w:t>Reviewer validates</w:t>
            </w:r>
          </w:p>
        </w:tc>
        <w:tc>
          <w:tcPr>
            <w:tcW w:type="dxa" w:w="1200"/>
            <w:shd w:fill="173A5E"/>
            <w:vAlign w:val="center"/>
            <w:tcMar>
              <w:top w:w="90" w:type="dxa"/>
              <w:start w:w="120" w:type="dxa"/>
              <w:bottom w:w="90" w:type="dxa"/>
              <w:end w:w="120" w:type="dxa"/>
            </w:tcMar>
          </w:tcPr>
          <w:p>
            <w:pPr>
              <w:spacing w:after="0" w:line="259" w:lineRule="auto"/>
            </w:pPr>
            <w:r/>
            <w:r>
              <w:rPr>
                <w:rFonts w:ascii="Aptos" w:hAnsi="Aptos"/>
                <w:b/>
                <w:i w:val="0"/>
                <w:color w:val="FFFFFF"/>
                <w:sz w:val="18"/>
              </w:rPr>
              <w:t>Approval</w:t>
            </w:r>
          </w:p>
        </w:tc>
      </w:tr>
      <w:tr>
        <w:tc>
          <w:tcPr>
            <w:tcW w:type="dxa" w:w="2300"/>
            <w:vAlign w:val="center"/>
            <w:tcMar>
              <w:top w:w="90" w:type="dxa"/>
              <w:start w:w="120" w:type="dxa"/>
              <w:bottom w:w="90" w:type="dxa"/>
              <w:end w:w="120" w:type="dxa"/>
            </w:tcMar>
          </w:tcPr>
          <w:p>
            <w:pPr>
              <w:spacing w:after="0" w:line="259" w:lineRule="auto"/>
            </w:pPr>
            <w:r/>
            <w:r>
              <w:rPr>
                <w:rFonts w:ascii="Aptos" w:hAnsi="Aptos"/>
                <w:b w:val="0"/>
                <w:i w:val="0"/>
                <w:color w:val="222222"/>
                <w:sz w:val="17"/>
              </w:rPr>
              <w:t>Assessment leadership</w:t>
            </w:r>
          </w:p>
        </w:tc>
        <w:tc>
          <w:tcPr>
            <w:tcW w:type="dxa" w:w="5860"/>
            <w:vAlign w:val="center"/>
            <w:tcMar>
              <w:top w:w="90" w:type="dxa"/>
              <w:start w:w="120" w:type="dxa"/>
              <w:bottom w:w="90" w:type="dxa"/>
              <w:end w:w="120" w:type="dxa"/>
            </w:tcMar>
          </w:tcPr>
          <w:p>
            <w:pPr>
              <w:spacing w:after="0" w:line="259" w:lineRule="auto"/>
            </w:pPr>
            <w:r/>
            <w:r>
              <w:rPr>
                <w:rFonts w:ascii="Aptos" w:hAnsi="Aptos"/>
                <w:b w:val="0"/>
                <w:i w:val="0"/>
                <w:color w:val="222222"/>
                <w:sz w:val="17"/>
              </w:rPr>
              <w:t>Programs, grades, windows, administration details, contacts, and current guidance.</w:t>
            </w:r>
          </w:p>
        </w:tc>
        <w:tc>
          <w:tcPr>
            <w:tcW w:type="dxa" w:w="1200"/>
            <w:vAlign w:val="center"/>
            <w:tcMar>
              <w:top w:w="90" w:type="dxa"/>
              <w:start w:w="120" w:type="dxa"/>
              <w:bottom w:w="90" w:type="dxa"/>
              <w:end w:w="120" w:type="dxa"/>
            </w:tcMar>
          </w:tcPr>
          <w:p>
            <w:pPr>
              <w:spacing w:after="0" w:line="259" w:lineRule="auto"/>
            </w:pPr>
            <w:r/>
            <w:r>
              <w:rPr>
                <w:rFonts w:ascii="Aptos" w:hAnsi="Aptos"/>
                <w:b w:val="0"/>
                <w:i w:val="0"/>
                <w:color w:val="222222"/>
                <w:sz w:val="22"/>
              </w:rPr>
              <w:t>☐</w:t>
            </w:r>
          </w:p>
        </w:tc>
      </w:tr>
      <w:tr>
        <w:tc>
          <w:tcPr>
            <w:tcW w:type="dxa" w:w="2300"/>
            <w:vAlign w:val="center"/>
            <w:tcMar>
              <w:top w:w="90" w:type="dxa"/>
              <w:start w:w="120" w:type="dxa"/>
              <w:bottom w:w="90" w:type="dxa"/>
              <w:end w:w="120" w:type="dxa"/>
            </w:tcMar>
          </w:tcPr>
          <w:p>
            <w:pPr>
              <w:spacing w:after="0" w:line="259" w:lineRule="auto"/>
            </w:pPr>
            <w:r/>
            <w:r>
              <w:rPr>
                <w:rFonts w:ascii="Aptos" w:hAnsi="Aptos"/>
                <w:b w:val="0"/>
                <w:i w:val="0"/>
                <w:color w:val="222222"/>
                <w:sz w:val="17"/>
              </w:rPr>
              <w:t>Student services / special education</w:t>
            </w:r>
          </w:p>
        </w:tc>
        <w:tc>
          <w:tcPr>
            <w:tcW w:type="dxa" w:w="5860"/>
            <w:vAlign w:val="center"/>
            <w:tcMar>
              <w:top w:w="90" w:type="dxa"/>
              <w:start w:w="120" w:type="dxa"/>
              <w:bottom w:w="90" w:type="dxa"/>
              <w:end w:w="120" w:type="dxa"/>
            </w:tcMar>
          </w:tcPr>
          <w:p>
            <w:pPr>
              <w:spacing w:after="0" w:line="259" w:lineRule="auto"/>
            </w:pPr>
            <w:r/>
            <w:r>
              <w:rPr>
                <w:rFonts w:ascii="Aptos" w:hAnsi="Aptos"/>
                <w:b w:val="0"/>
                <w:i w:val="0"/>
                <w:color w:val="222222"/>
                <w:sz w:val="17"/>
              </w:rPr>
              <w:t>Alternate assessments, accessibility resources, accommodations, and IEP-related language.</w:t>
            </w:r>
          </w:p>
        </w:tc>
        <w:tc>
          <w:tcPr>
            <w:tcW w:type="dxa" w:w="1200"/>
            <w:vAlign w:val="center"/>
            <w:tcMar>
              <w:top w:w="90" w:type="dxa"/>
              <w:start w:w="120" w:type="dxa"/>
              <w:bottom w:w="90" w:type="dxa"/>
              <w:end w:w="120" w:type="dxa"/>
            </w:tcMar>
          </w:tcPr>
          <w:p>
            <w:pPr>
              <w:spacing w:after="0" w:line="259" w:lineRule="auto"/>
            </w:pPr>
            <w:r/>
            <w:r>
              <w:rPr>
                <w:rFonts w:ascii="Aptos" w:hAnsi="Aptos"/>
                <w:b w:val="0"/>
                <w:i w:val="0"/>
                <w:color w:val="222222"/>
                <w:sz w:val="22"/>
              </w:rPr>
              <w:t>☐</w:t>
            </w:r>
          </w:p>
        </w:tc>
      </w:tr>
      <w:tr>
        <w:tc>
          <w:tcPr>
            <w:tcW w:type="dxa" w:w="2300"/>
            <w:vAlign w:val="center"/>
            <w:tcMar>
              <w:top w:w="90" w:type="dxa"/>
              <w:start w:w="120" w:type="dxa"/>
              <w:bottom w:w="90" w:type="dxa"/>
              <w:end w:w="120" w:type="dxa"/>
            </w:tcMar>
          </w:tcPr>
          <w:p>
            <w:pPr>
              <w:spacing w:after="0" w:line="259" w:lineRule="auto"/>
            </w:pPr>
            <w:r/>
            <w:r>
              <w:rPr>
                <w:rFonts w:ascii="Aptos" w:hAnsi="Aptos"/>
                <w:b w:val="0"/>
                <w:i w:val="0"/>
                <w:color w:val="222222"/>
                <w:sz w:val="17"/>
              </w:rPr>
              <w:t>Multilingual education</w:t>
            </w:r>
          </w:p>
        </w:tc>
        <w:tc>
          <w:tcPr>
            <w:tcW w:type="dxa" w:w="5860"/>
            <w:vAlign w:val="center"/>
            <w:tcMar>
              <w:top w:w="90" w:type="dxa"/>
              <w:start w:w="120" w:type="dxa"/>
              <w:bottom w:w="90" w:type="dxa"/>
              <w:end w:w="120" w:type="dxa"/>
            </w:tcMar>
          </w:tcPr>
          <w:p>
            <w:pPr>
              <w:spacing w:after="0" w:line="259" w:lineRule="auto"/>
            </w:pPr>
            <w:r/>
            <w:r>
              <w:rPr>
                <w:rFonts w:ascii="Aptos" w:hAnsi="Aptos"/>
                <w:b w:val="0"/>
                <w:i w:val="0"/>
                <w:color w:val="222222"/>
                <w:sz w:val="17"/>
              </w:rPr>
              <w:t>ELPAC descriptions, language access, translations, and family terminology.</w:t>
            </w:r>
          </w:p>
        </w:tc>
        <w:tc>
          <w:tcPr>
            <w:tcW w:type="dxa" w:w="1200"/>
            <w:vAlign w:val="center"/>
            <w:tcMar>
              <w:top w:w="90" w:type="dxa"/>
              <w:start w:w="120" w:type="dxa"/>
              <w:bottom w:w="90" w:type="dxa"/>
              <w:end w:w="120" w:type="dxa"/>
            </w:tcMar>
          </w:tcPr>
          <w:p>
            <w:pPr>
              <w:spacing w:after="0" w:line="259" w:lineRule="auto"/>
            </w:pPr>
            <w:r/>
            <w:r>
              <w:rPr>
                <w:rFonts w:ascii="Aptos" w:hAnsi="Aptos"/>
                <w:b w:val="0"/>
                <w:i w:val="0"/>
                <w:color w:val="222222"/>
                <w:sz w:val="22"/>
              </w:rPr>
              <w:t>☐</w:t>
            </w:r>
          </w:p>
        </w:tc>
      </w:tr>
      <w:tr>
        <w:tc>
          <w:tcPr>
            <w:tcW w:type="dxa" w:w="2300"/>
            <w:vAlign w:val="center"/>
            <w:tcMar>
              <w:top w:w="90" w:type="dxa"/>
              <w:start w:w="120" w:type="dxa"/>
              <w:bottom w:w="90" w:type="dxa"/>
              <w:end w:w="120" w:type="dxa"/>
            </w:tcMar>
          </w:tcPr>
          <w:p>
            <w:pPr>
              <w:spacing w:after="0" w:line="259" w:lineRule="auto"/>
            </w:pPr>
            <w:r/>
            <w:r>
              <w:rPr>
                <w:rFonts w:ascii="Aptos" w:hAnsi="Aptos"/>
                <w:b w:val="0"/>
                <w:i w:val="0"/>
                <w:color w:val="222222"/>
                <w:sz w:val="17"/>
              </w:rPr>
              <w:t>Legal / compliance</w:t>
            </w:r>
          </w:p>
        </w:tc>
        <w:tc>
          <w:tcPr>
            <w:tcW w:type="dxa" w:w="5860"/>
            <w:vAlign w:val="center"/>
            <w:tcMar>
              <w:top w:w="90" w:type="dxa"/>
              <w:start w:w="120" w:type="dxa"/>
              <w:bottom w:w="90" w:type="dxa"/>
              <w:end w:w="120" w:type="dxa"/>
            </w:tcMar>
          </w:tcPr>
          <w:p>
            <w:pPr>
              <w:spacing w:after="0" w:line="259" w:lineRule="auto"/>
            </w:pPr>
            <w:r/>
            <w:r>
              <w:rPr>
                <w:rFonts w:ascii="Aptos" w:hAnsi="Aptos"/>
                <w:b w:val="0"/>
                <w:i w:val="0"/>
                <w:color w:val="222222"/>
                <w:sz w:val="17"/>
              </w:rPr>
              <w:t>Required notices, rights, statutory language, and consistency with policy.</w:t>
            </w:r>
          </w:p>
        </w:tc>
        <w:tc>
          <w:tcPr>
            <w:tcW w:type="dxa" w:w="1200"/>
            <w:vAlign w:val="center"/>
            <w:tcMar>
              <w:top w:w="90" w:type="dxa"/>
              <w:start w:w="120" w:type="dxa"/>
              <w:bottom w:w="90" w:type="dxa"/>
              <w:end w:w="120" w:type="dxa"/>
            </w:tcMar>
          </w:tcPr>
          <w:p>
            <w:pPr>
              <w:spacing w:after="0" w:line="259" w:lineRule="auto"/>
            </w:pPr>
            <w:r/>
            <w:r>
              <w:rPr>
                <w:rFonts w:ascii="Aptos" w:hAnsi="Aptos"/>
                <w:b w:val="0"/>
                <w:i w:val="0"/>
                <w:color w:val="222222"/>
                <w:sz w:val="22"/>
              </w:rPr>
              <w:t>☐</w:t>
            </w:r>
          </w:p>
        </w:tc>
      </w:tr>
      <w:tr>
        <w:tc>
          <w:tcPr>
            <w:tcW w:type="dxa" w:w="2300"/>
            <w:vAlign w:val="center"/>
            <w:tcMar>
              <w:top w:w="90" w:type="dxa"/>
              <w:start w:w="120" w:type="dxa"/>
              <w:bottom w:w="90" w:type="dxa"/>
              <w:end w:w="120" w:type="dxa"/>
            </w:tcMar>
          </w:tcPr>
          <w:p>
            <w:pPr>
              <w:spacing w:after="0" w:line="259" w:lineRule="auto"/>
            </w:pPr>
            <w:r/>
            <w:r>
              <w:rPr>
                <w:rFonts w:ascii="Aptos" w:hAnsi="Aptos"/>
                <w:b w:val="0"/>
                <w:i w:val="0"/>
                <w:color w:val="222222"/>
                <w:sz w:val="17"/>
              </w:rPr>
              <w:t>Communications</w:t>
            </w:r>
          </w:p>
        </w:tc>
        <w:tc>
          <w:tcPr>
            <w:tcW w:type="dxa" w:w="5860"/>
            <w:vAlign w:val="center"/>
            <w:tcMar>
              <w:top w:w="90" w:type="dxa"/>
              <w:start w:w="120" w:type="dxa"/>
              <w:bottom w:w="90" w:type="dxa"/>
              <w:end w:w="120" w:type="dxa"/>
            </w:tcMar>
          </w:tcPr>
          <w:p>
            <w:pPr>
              <w:spacing w:after="0" w:line="259" w:lineRule="auto"/>
            </w:pPr>
            <w:r/>
            <w:r>
              <w:rPr>
                <w:rFonts w:ascii="Aptos" w:hAnsi="Aptos"/>
                <w:b w:val="0"/>
                <w:i w:val="0"/>
                <w:color w:val="222222"/>
                <w:sz w:val="17"/>
              </w:rPr>
              <w:t>Plain language, district voice, links, channels, and version control.</w:t>
            </w:r>
          </w:p>
        </w:tc>
        <w:tc>
          <w:tcPr>
            <w:tcW w:type="dxa" w:w="1200"/>
            <w:vAlign w:val="center"/>
            <w:tcMar>
              <w:top w:w="90" w:type="dxa"/>
              <w:start w:w="120" w:type="dxa"/>
              <w:bottom w:w="90" w:type="dxa"/>
              <w:end w:w="120" w:type="dxa"/>
            </w:tcMar>
          </w:tcPr>
          <w:p>
            <w:pPr>
              <w:spacing w:after="0" w:line="259" w:lineRule="auto"/>
            </w:pPr>
            <w:r/>
            <w:r>
              <w:rPr>
                <w:rFonts w:ascii="Aptos" w:hAnsi="Aptos"/>
                <w:b w:val="0"/>
                <w:i w:val="0"/>
                <w:color w:val="222222"/>
                <w:sz w:val="22"/>
              </w:rPr>
              <w:t>☐</w:t>
            </w:r>
          </w:p>
        </w:tc>
      </w:tr>
      <w:tr>
        <w:tc>
          <w:tcPr>
            <w:tcW w:type="dxa" w:w="2300"/>
            <w:vAlign w:val="center"/>
            <w:tcMar>
              <w:top w:w="90" w:type="dxa"/>
              <w:start w:w="120" w:type="dxa"/>
              <w:bottom w:w="90" w:type="dxa"/>
              <w:end w:w="120" w:type="dxa"/>
            </w:tcMar>
          </w:tcPr>
          <w:p>
            <w:pPr>
              <w:spacing w:after="0" w:line="259" w:lineRule="auto"/>
            </w:pPr>
            <w:r/>
            <w:r>
              <w:rPr>
                <w:rFonts w:ascii="Aptos" w:hAnsi="Aptos"/>
                <w:b w:val="0"/>
                <w:i w:val="0"/>
                <w:color w:val="222222"/>
                <w:sz w:val="17"/>
              </w:rPr>
              <w:t>Executive leadership</w:t>
            </w:r>
          </w:p>
        </w:tc>
        <w:tc>
          <w:tcPr>
            <w:tcW w:type="dxa" w:w="5860"/>
            <w:vAlign w:val="center"/>
            <w:tcMar>
              <w:top w:w="90" w:type="dxa"/>
              <w:start w:w="120" w:type="dxa"/>
              <w:bottom w:w="90" w:type="dxa"/>
              <w:end w:w="120" w:type="dxa"/>
            </w:tcMar>
          </w:tcPr>
          <w:p>
            <w:pPr>
              <w:spacing w:after="0" w:line="259" w:lineRule="auto"/>
            </w:pPr>
            <w:r/>
            <w:r>
              <w:rPr>
                <w:rFonts w:ascii="Aptos" w:hAnsi="Aptos"/>
                <w:b w:val="0"/>
                <w:i w:val="0"/>
                <w:color w:val="222222"/>
                <w:sz w:val="17"/>
              </w:rPr>
              <w:t>Final authorization to disseminate the validated local version.</w:t>
            </w:r>
          </w:p>
        </w:tc>
        <w:tc>
          <w:tcPr>
            <w:tcW w:type="dxa" w:w="1200"/>
            <w:vAlign w:val="center"/>
            <w:tcMar>
              <w:top w:w="90" w:type="dxa"/>
              <w:start w:w="120" w:type="dxa"/>
              <w:bottom w:w="90" w:type="dxa"/>
              <w:end w:w="120" w:type="dxa"/>
            </w:tcMar>
          </w:tcPr>
          <w:p>
            <w:pPr>
              <w:spacing w:after="0" w:line="259" w:lineRule="auto"/>
            </w:pPr>
            <w:r/>
            <w:r>
              <w:rPr>
                <w:rFonts w:ascii="Aptos" w:hAnsi="Aptos"/>
                <w:b w:val="0"/>
                <w:i w:val="0"/>
                <w:color w:val="222222"/>
                <w:sz w:val="22"/>
              </w:rPr>
              <w:t>☐</w:t>
            </w:r>
          </w:p>
        </w:tc>
      </w:tr>
    </w:tbl>
    <w:p>
      <w:pPr>
        <w:pStyle w:val="Heading1"/>
        <w:keepNext/>
      </w:pPr>
      <w:r>
        <w:rPr>
          <w:rFonts w:ascii="Aptos" w:hAnsi="Aptos"/>
          <w:b/>
          <w:i w:val="0"/>
          <w:color w:val="173A5E"/>
          <w:sz w:val="32"/>
        </w:rPr>
        <w:t>Pre-dissemination release check</w:t>
      </w:r>
    </w:p>
    <w:p>
      <w:pPr>
        <w:spacing w:after="60" w:line="259" w:lineRule="auto"/>
        <w:ind w:left="72" w:hanging="29"/>
      </w:pPr>
      <w:r>
        <w:rPr>
          <w:rFonts w:ascii="Aptos" w:hAnsi="Aptos"/>
          <w:b w:val="0"/>
          <w:i w:val="0"/>
          <w:color w:val="173A5E"/>
          <w:sz w:val="21"/>
        </w:rPr>
        <w:t xml:space="preserve">☐  </w:t>
      </w:r>
      <w:r>
        <w:rPr>
          <w:rFonts w:ascii="Aptos" w:hAnsi="Aptos"/>
          <w:b w:val="0"/>
          <w:i w:val="0"/>
          <w:color w:val="222222"/>
          <w:sz w:val="19"/>
        </w:rPr>
        <w:t>All highlighted fields, brackets, prompts, comments, and tracked changes are resolved.</w:t>
      </w:r>
    </w:p>
    <w:p>
      <w:pPr>
        <w:spacing w:after="60" w:line="259" w:lineRule="auto"/>
        <w:ind w:left="72" w:hanging="29"/>
      </w:pPr>
      <w:r>
        <w:rPr>
          <w:rFonts w:ascii="Aptos" w:hAnsi="Aptos"/>
          <w:b w:val="0"/>
          <w:i w:val="0"/>
          <w:color w:val="173A5E"/>
          <w:sz w:val="21"/>
        </w:rPr>
        <w:t xml:space="preserve">☐  </w:t>
      </w:r>
      <w:r>
        <w:rPr>
          <w:rFonts w:ascii="Aptos" w:hAnsi="Aptos"/>
          <w:b w:val="0"/>
          <w:i w:val="0"/>
          <w:color w:val="222222"/>
          <w:sz w:val="19"/>
        </w:rPr>
        <w:t>Assessment names, grade levels, windows, participation rules, and family rights match current authoritative guidance.</w:t>
      </w:r>
    </w:p>
    <w:p>
      <w:pPr>
        <w:spacing w:after="60" w:line="259" w:lineRule="auto"/>
        <w:ind w:left="72" w:hanging="29"/>
      </w:pPr>
      <w:r>
        <w:rPr>
          <w:rFonts w:ascii="Aptos" w:hAnsi="Aptos"/>
          <w:b w:val="0"/>
          <w:i w:val="0"/>
          <w:color w:val="173A5E"/>
          <w:sz w:val="21"/>
        </w:rPr>
        <w:t xml:space="preserve">☐  </w:t>
      </w:r>
      <w:r>
        <w:rPr>
          <w:rFonts w:ascii="Aptos" w:hAnsi="Aptos"/>
          <w:b w:val="0"/>
          <w:i w:val="0"/>
          <w:color w:val="222222"/>
          <w:sz w:val="19"/>
        </w:rPr>
        <w:t>The notice matches actual local programs, adopted tools, and administrative procedures.</w:t>
      </w:r>
    </w:p>
    <w:p>
      <w:pPr>
        <w:spacing w:after="60" w:line="259" w:lineRule="auto"/>
        <w:ind w:left="72" w:hanging="29"/>
      </w:pPr>
      <w:r>
        <w:rPr>
          <w:rFonts w:ascii="Aptos" w:hAnsi="Aptos"/>
          <w:b w:val="0"/>
          <w:i w:val="0"/>
          <w:color w:val="173A5E"/>
          <w:sz w:val="21"/>
        </w:rPr>
        <w:t xml:space="preserve">☐  </w:t>
      </w:r>
      <w:r>
        <w:rPr>
          <w:rFonts w:ascii="Aptos" w:hAnsi="Aptos"/>
          <w:b w:val="0"/>
          <w:i w:val="0"/>
          <w:color w:val="222222"/>
          <w:sz w:val="19"/>
        </w:rPr>
        <w:t>Translations and accessible formats are ready for release with the primary-language version.</w:t>
      </w:r>
    </w:p>
    <w:p>
      <w:pPr>
        <w:spacing w:after="60" w:line="259" w:lineRule="auto"/>
        <w:ind w:left="72" w:hanging="29"/>
      </w:pPr>
      <w:r>
        <w:rPr>
          <w:rFonts w:ascii="Aptos" w:hAnsi="Aptos"/>
          <w:b w:val="0"/>
          <w:i w:val="0"/>
          <w:color w:val="173A5E"/>
          <w:sz w:val="21"/>
        </w:rPr>
        <w:t xml:space="preserve">☐  </w:t>
      </w:r>
      <w:r>
        <w:rPr>
          <w:rFonts w:ascii="Aptos" w:hAnsi="Aptos"/>
          <w:b w:val="0"/>
          <w:i w:val="0"/>
          <w:color w:val="222222"/>
          <w:sz w:val="19"/>
        </w:rPr>
        <w:t>The final document has passed proofreading, leadership review, and records/version control.</w:t>
      </w:r>
    </w:p>
    <w:p>
      <w:pPr>
        <w:spacing w:after="60" w:line="259" w:lineRule="auto"/>
        <w:ind w:left="72" w:hanging="29"/>
      </w:pPr>
      <w:r>
        <w:rPr>
          <w:rFonts w:ascii="Aptos" w:hAnsi="Aptos"/>
          <w:b w:val="0"/>
          <w:i w:val="0"/>
          <w:color w:val="173A5E"/>
          <w:sz w:val="21"/>
        </w:rPr>
        <w:t xml:space="preserve">☐  </w:t>
      </w:r>
      <w:r>
        <w:rPr>
          <w:rFonts w:ascii="Aptos" w:hAnsi="Aptos"/>
          <w:b w:val="0"/>
          <w:i w:val="0"/>
          <w:color w:val="222222"/>
          <w:sz w:val="19"/>
        </w:rPr>
        <w:t>Distribution timing, audience lists, delivery channels, and the response path for family questions are confirmed.</w:t>
      </w:r>
    </w:p>
    <w:p>
      <w:pPr>
        <w:pStyle w:val="Heading1"/>
        <w:keepNext/>
      </w:pPr>
      <w:r>
        <w:rPr>
          <w:rFonts w:ascii="Aptos" w:hAnsi="Aptos"/>
          <w:b/>
          <w:i w:val="0"/>
          <w:color w:val="173A5E"/>
          <w:sz w:val="32"/>
        </w:rPr>
        <w:t>Authoritative source register</w:t>
      </w:r>
    </w:p>
    <w:tbl>
      <w:tblPr>
        <w:tblW w:type="dxa" w:w="9360"/>
        <w:jc w:val="center"/>
        <w:tblLayout w:type="fixed"/>
        <w:tblLook w:firstColumn="1" w:firstRow="1" w:lastColumn="0" w:lastRow="0" w:noHBand="0" w:noVBand="1" w:val="04A0"/>
        <w:tblInd w:w="120" w:type="dxa"/>
      </w:tblPr>
      <w:tblGrid>
        <w:gridCol w:w="1900"/>
        <w:gridCol w:w="4760"/>
        <w:gridCol w:w="2700"/>
      </w:tblGrid>
      <w:tr>
        <w:trPr>
          <w:tblHeader w:val="true"/>
        </w:trPr>
        <w:tc>
          <w:tcPr>
            <w:tcW w:type="dxa" w:w="1900"/>
            <w:shd w:fill="173A5E"/>
            <w:vAlign w:val="center"/>
            <w:tcMar>
              <w:top w:w="90" w:type="dxa"/>
              <w:start w:w="120" w:type="dxa"/>
              <w:bottom w:w="90" w:type="dxa"/>
              <w:end w:w="120" w:type="dxa"/>
            </w:tcMar>
          </w:tcPr>
          <w:p>
            <w:pPr>
              <w:spacing w:after="0" w:line="259" w:lineRule="auto"/>
            </w:pPr>
            <w:r/>
            <w:r>
              <w:rPr>
                <w:rFonts w:ascii="Aptos" w:hAnsi="Aptos"/>
                <w:b/>
                <w:i w:val="0"/>
                <w:color w:val="FFFFFF"/>
                <w:sz w:val="17"/>
              </w:rPr>
              <w:t>Topic</w:t>
            </w:r>
          </w:p>
        </w:tc>
        <w:tc>
          <w:tcPr>
            <w:tcW w:type="dxa" w:w="4760"/>
            <w:shd w:fill="173A5E"/>
            <w:vAlign w:val="center"/>
            <w:tcMar>
              <w:top w:w="90" w:type="dxa"/>
              <w:start w:w="120" w:type="dxa"/>
              <w:bottom w:w="90" w:type="dxa"/>
              <w:end w:w="120" w:type="dxa"/>
            </w:tcMar>
          </w:tcPr>
          <w:p>
            <w:pPr>
              <w:spacing w:after="0" w:line="259" w:lineRule="auto"/>
            </w:pPr>
            <w:r/>
            <w:r>
              <w:rPr>
                <w:rFonts w:ascii="Aptos" w:hAnsi="Aptos"/>
                <w:b/>
                <w:i w:val="0"/>
                <w:color w:val="FFFFFF"/>
                <w:sz w:val="17"/>
              </w:rPr>
              <w:t>Current controlling source</w:t>
            </w:r>
          </w:p>
        </w:tc>
        <w:tc>
          <w:tcPr>
            <w:tcW w:type="dxa" w:w="2700"/>
            <w:shd w:fill="173A5E"/>
            <w:vAlign w:val="center"/>
            <w:tcMar>
              <w:top w:w="90" w:type="dxa"/>
              <w:start w:w="120" w:type="dxa"/>
              <w:bottom w:w="90" w:type="dxa"/>
              <w:end w:w="120" w:type="dxa"/>
            </w:tcMar>
          </w:tcPr>
          <w:p>
            <w:pPr>
              <w:spacing w:after="0" w:line="259" w:lineRule="auto"/>
            </w:pPr>
            <w:r/>
            <w:r>
              <w:rPr>
                <w:rFonts w:ascii="Aptos" w:hAnsi="Aptos"/>
                <w:b/>
                <w:i w:val="0"/>
                <w:color w:val="FFFFFF"/>
                <w:sz w:val="17"/>
              </w:rPr>
              <w:t>Annual recheck</w:t>
            </w:r>
          </w:p>
        </w:tc>
      </w:tr>
      <w:tr>
        <w:tc>
          <w:tcPr>
            <w:tcW w:type="dxa" w:w="1900"/>
            <w:vAlign w:val="center"/>
            <w:tcMar>
              <w:top w:w="90" w:type="dxa"/>
              <w:start w:w="120" w:type="dxa"/>
              <w:bottom w:w="90" w:type="dxa"/>
              <w:end w:w="120" w:type="dxa"/>
            </w:tcMar>
          </w:tcPr>
          <w:p>
            <w:pPr>
              <w:spacing w:after="0" w:line="259" w:lineRule="auto"/>
            </w:pPr>
            <w:r/>
            <w:r>
              <w:rPr>
                <w:rFonts w:ascii="Aptos" w:hAnsi="Aptos"/>
                <w:b w:val="0"/>
                <w:i w:val="0"/>
                <w:color w:val="222222"/>
                <w:sz w:val="15"/>
              </w:rPr>
              <w:t>CAASPP notice and exemption</w:t>
            </w:r>
          </w:p>
        </w:tc>
        <w:tc>
          <w:tcPr>
            <w:tcW w:type="dxa" w:w="4760"/>
            <w:vAlign w:val="center"/>
            <w:tcMar>
              <w:top w:w="90" w:type="dxa"/>
              <w:start w:w="120" w:type="dxa"/>
              <w:bottom w:w="90" w:type="dxa"/>
              <w:end w:w="120" w:type="dxa"/>
            </w:tcMar>
          </w:tcPr>
          <w:p>
            <w:pPr>
              <w:spacing w:after="0" w:line="259" w:lineRule="auto"/>
            </w:pPr>
            <w:r/>
            <w:r>
              <w:rPr>
                <w:rFonts w:ascii="Aptos" w:hAnsi="Aptos"/>
                <w:b w:val="0"/>
                <w:i w:val="0"/>
                <w:color w:val="222222"/>
                <w:sz w:val="15"/>
              </w:rPr>
              <w:t>CDE Notice of Assessments Administration</w:t>
              <w:br/>
              <w:t>https://www.cde.ca.gov/ta/tg/ca/caasppadminnftyltr.asp</w:t>
            </w:r>
          </w:p>
        </w:tc>
        <w:tc>
          <w:tcPr>
            <w:tcW w:type="dxa" w:w="2700"/>
            <w:vAlign w:val="center"/>
            <w:tcMar>
              <w:top w:w="90" w:type="dxa"/>
              <w:start w:w="120" w:type="dxa"/>
              <w:bottom w:w="90" w:type="dxa"/>
              <w:end w:w="120" w:type="dxa"/>
            </w:tcMar>
          </w:tcPr>
          <w:p>
            <w:pPr>
              <w:spacing w:after="0" w:line="259" w:lineRule="auto"/>
            </w:pPr>
            <w:r/>
            <w:r>
              <w:rPr>
                <w:rFonts w:ascii="Aptos" w:hAnsi="Aptos"/>
                <w:b w:val="0"/>
                <w:i w:val="0"/>
                <w:color w:val="222222"/>
                <w:sz w:val="15"/>
              </w:rPr>
              <w:t>Template year, translations, exemption language.</w:t>
            </w:r>
          </w:p>
        </w:tc>
      </w:tr>
      <w:tr>
        <w:tc>
          <w:tcPr>
            <w:tcW w:type="dxa" w:w="1900"/>
            <w:vAlign w:val="center"/>
            <w:tcMar>
              <w:top w:w="90" w:type="dxa"/>
              <w:start w:w="120" w:type="dxa"/>
              <w:bottom w:w="90" w:type="dxa"/>
              <w:end w:w="120" w:type="dxa"/>
            </w:tcMar>
          </w:tcPr>
          <w:p>
            <w:pPr>
              <w:spacing w:after="0" w:line="259" w:lineRule="auto"/>
            </w:pPr>
            <w:r/>
            <w:r>
              <w:rPr>
                <w:rFonts w:ascii="Aptos" w:hAnsi="Aptos"/>
                <w:b w:val="0"/>
                <w:i w:val="0"/>
                <w:color w:val="222222"/>
                <w:sz w:val="15"/>
              </w:rPr>
              <w:t>Assessment participation and windows</w:t>
            </w:r>
          </w:p>
        </w:tc>
        <w:tc>
          <w:tcPr>
            <w:tcW w:type="dxa" w:w="4760"/>
            <w:vAlign w:val="center"/>
            <w:tcMar>
              <w:top w:w="90" w:type="dxa"/>
              <w:start w:w="120" w:type="dxa"/>
              <w:bottom w:w="90" w:type="dxa"/>
              <w:end w:w="120" w:type="dxa"/>
            </w:tcMar>
          </w:tcPr>
          <w:p>
            <w:pPr>
              <w:spacing w:after="0" w:line="259" w:lineRule="auto"/>
            </w:pPr>
            <w:r/>
            <w:r>
              <w:rPr>
                <w:rFonts w:ascii="Aptos" w:hAnsi="Aptos"/>
                <w:b w:val="0"/>
                <w:i w:val="0"/>
                <w:color w:val="222222"/>
                <w:sz w:val="15"/>
              </w:rPr>
              <w:t>CDE California Assessment System</w:t>
              <w:br/>
              <w:t>https://www.cde.ca.gov/ta/tg/ai/caassessmentsystem.asp</w:t>
            </w:r>
          </w:p>
        </w:tc>
        <w:tc>
          <w:tcPr>
            <w:tcW w:type="dxa" w:w="2700"/>
            <w:vAlign w:val="center"/>
            <w:tcMar>
              <w:top w:w="90" w:type="dxa"/>
              <w:start w:w="120" w:type="dxa"/>
              <w:bottom w:w="90" w:type="dxa"/>
              <w:end w:w="120" w:type="dxa"/>
            </w:tcMar>
          </w:tcPr>
          <w:p>
            <w:pPr>
              <w:spacing w:after="0" w:line="259" w:lineRule="auto"/>
            </w:pPr>
            <w:r/>
            <w:r>
              <w:rPr>
                <w:rFonts w:ascii="Aptos" w:hAnsi="Aptos"/>
                <w:b w:val="0"/>
                <w:i w:val="0"/>
                <w:color w:val="222222"/>
                <w:sz w:val="15"/>
              </w:rPr>
              <w:t>Grades, participants, formats, windows.</w:t>
            </w:r>
          </w:p>
        </w:tc>
      </w:tr>
      <w:tr>
        <w:tc>
          <w:tcPr>
            <w:tcW w:type="dxa" w:w="1900"/>
            <w:vAlign w:val="center"/>
            <w:tcMar>
              <w:top w:w="90" w:type="dxa"/>
              <w:start w:w="120" w:type="dxa"/>
              <w:bottom w:w="90" w:type="dxa"/>
              <w:end w:w="120" w:type="dxa"/>
            </w:tcMar>
          </w:tcPr>
          <w:p>
            <w:pPr>
              <w:spacing w:after="0" w:line="259" w:lineRule="auto"/>
            </w:pPr>
            <w:r/>
            <w:r>
              <w:rPr>
                <w:rFonts w:ascii="Aptos" w:hAnsi="Aptos"/>
                <w:b w:val="0"/>
                <w:i w:val="0"/>
                <w:color w:val="222222"/>
                <w:sz w:val="15"/>
              </w:rPr>
              <w:t>ELPAC</w:t>
            </w:r>
          </w:p>
        </w:tc>
        <w:tc>
          <w:tcPr>
            <w:tcW w:type="dxa" w:w="4760"/>
            <w:vAlign w:val="center"/>
            <w:tcMar>
              <w:top w:w="90" w:type="dxa"/>
              <w:start w:w="120" w:type="dxa"/>
              <w:bottom w:w="90" w:type="dxa"/>
              <w:end w:w="120" w:type="dxa"/>
            </w:tcMar>
          </w:tcPr>
          <w:p>
            <w:pPr>
              <w:spacing w:after="0" w:line="259" w:lineRule="auto"/>
            </w:pPr>
            <w:r/>
            <w:r>
              <w:rPr>
                <w:rFonts w:ascii="Aptos" w:hAnsi="Aptos"/>
                <w:b w:val="0"/>
                <w:i w:val="0"/>
                <w:color w:val="222222"/>
                <w:sz w:val="15"/>
              </w:rPr>
              <w:t>CDE ELPAC pages and current information guides</w:t>
              <w:br/>
              <w:t>https://www.cde.ca.gov/ta/tg/ep/</w:t>
            </w:r>
          </w:p>
        </w:tc>
        <w:tc>
          <w:tcPr>
            <w:tcW w:type="dxa" w:w="2700"/>
            <w:vAlign w:val="center"/>
            <w:tcMar>
              <w:top w:w="90" w:type="dxa"/>
              <w:start w:w="120" w:type="dxa"/>
              <w:bottom w:w="90" w:type="dxa"/>
              <w:end w:w="120" w:type="dxa"/>
            </w:tcMar>
          </w:tcPr>
          <w:p>
            <w:pPr>
              <w:spacing w:after="0" w:line="259" w:lineRule="auto"/>
            </w:pPr>
            <w:r/>
            <w:r>
              <w:rPr>
                <w:rFonts w:ascii="Aptos" w:hAnsi="Aptos"/>
                <w:b w:val="0"/>
                <w:i w:val="0"/>
                <w:color w:val="222222"/>
                <w:sz w:val="15"/>
              </w:rPr>
              <w:t>Eligibility, administration, terminology.</w:t>
            </w:r>
          </w:p>
        </w:tc>
      </w:tr>
      <w:tr>
        <w:tc>
          <w:tcPr>
            <w:tcW w:type="dxa" w:w="1900"/>
            <w:vAlign w:val="center"/>
            <w:tcMar>
              <w:top w:w="90" w:type="dxa"/>
              <w:start w:w="120" w:type="dxa"/>
              <w:bottom w:w="90" w:type="dxa"/>
              <w:end w:w="120" w:type="dxa"/>
            </w:tcMar>
          </w:tcPr>
          <w:p>
            <w:pPr>
              <w:spacing w:after="0" w:line="259" w:lineRule="auto"/>
            </w:pPr>
            <w:r/>
            <w:r>
              <w:rPr>
                <w:rFonts w:ascii="Aptos" w:hAnsi="Aptos"/>
                <w:b w:val="0"/>
                <w:i w:val="0"/>
                <w:color w:val="222222"/>
                <w:sz w:val="15"/>
              </w:rPr>
              <w:t>Physical Fitness Test</w:t>
            </w:r>
          </w:p>
        </w:tc>
        <w:tc>
          <w:tcPr>
            <w:tcW w:type="dxa" w:w="4760"/>
            <w:vAlign w:val="center"/>
            <w:tcMar>
              <w:top w:w="90" w:type="dxa"/>
              <w:start w:w="120" w:type="dxa"/>
              <w:bottom w:w="90" w:type="dxa"/>
              <w:end w:w="120" w:type="dxa"/>
            </w:tcMar>
          </w:tcPr>
          <w:p>
            <w:pPr>
              <w:spacing w:after="0" w:line="259" w:lineRule="auto"/>
            </w:pPr>
            <w:r/>
            <w:r>
              <w:rPr>
                <w:rFonts w:ascii="Aptos" w:hAnsi="Aptos"/>
                <w:b w:val="0"/>
                <w:i w:val="0"/>
                <w:color w:val="222222"/>
                <w:sz w:val="15"/>
              </w:rPr>
              <w:t>CDE PFT Information Sharing with Parents</w:t>
              <w:br/>
              <w:t>https://www.cde.ca.gov/ta/tg/pf/infosharingwithparents.asp</w:t>
            </w:r>
          </w:p>
        </w:tc>
        <w:tc>
          <w:tcPr>
            <w:tcW w:type="dxa" w:w="2700"/>
            <w:vAlign w:val="center"/>
            <w:tcMar>
              <w:top w:w="90" w:type="dxa"/>
              <w:start w:w="120" w:type="dxa"/>
              <w:bottom w:w="90" w:type="dxa"/>
              <w:end w:w="120" w:type="dxa"/>
            </w:tcMar>
          </w:tcPr>
          <w:p>
            <w:pPr>
              <w:spacing w:after="0" w:line="259" w:lineRule="auto"/>
            </w:pPr>
            <w:r/>
            <w:r>
              <w:rPr>
                <w:rFonts w:ascii="Aptos" w:hAnsi="Aptos"/>
                <w:b w:val="0"/>
                <w:i w:val="0"/>
                <w:color w:val="222222"/>
                <w:sz w:val="15"/>
              </w:rPr>
              <w:t>Grades, components, window, reporting.</w:t>
            </w:r>
          </w:p>
        </w:tc>
      </w:tr>
      <w:tr>
        <w:tc>
          <w:tcPr>
            <w:tcW w:type="dxa" w:w="1900"/>
            <w:vAlign w:val="center"/>
            <w:tcMar>
              <w:top w:w="90" w:type="dxa"/>
              <w:start w:w="120" w:type="dxa"/>
              <w:bottom w:w="90" w:type="dxa"/>
              <w:end w:w="120" w:type="dxa"/>
            </w:tcMar>
          </w:tcPr>
          <w:p>
            <w:pPr>
              <w:spacing w:after="0" w:line="259" w:lineRule="auto"/>
            </w:pPr>
            <w:r/>
            <w:r>
              <w:rPr>
                <w:rFonts w:ascii="Aptos" w:hAnsi="Aptos"/>
                <w:b w:val="0"/>
                <w:i w:val="0"/>
                <w:color w:val="222222"/>
                <w:sz w:val="15"/>
              </w:rPr>
              <w:t>Reading-difficulties screening</w:t>
            </w:r>
          </w:p>
        </w:tc>
        <w:tc>
          <w:tcPr>
            <w:tcW w:type="dxa" w:w="4760"/>
            <w:vAlign w:val="center"/>
            <w:tcMar>
              <w:top w:w="90" w:type="dxa"/>
              <w:start w:w="120" w:type="dxa"/>
              <w:bottom w:w="90" w:type="dxa"/>
              <w:end w:w="120" w:type="dxa"/>
            </w:tcMar>
          </w:tcPr>
          <w:p>
            <w:pPr>
              <w:spacing w:after="0" w:line="259" w:lineRule="auto"/>
            </w:pPr>
            <w:r/>
            <w:r>
              <w:rPr>
                <w:rFonts w:ascii="Aptos" w:hAnsi="Aptos"/>
                <w:b w:val="0"/>
                <w:i w:val="0"/>
                <w:color w:val="222222"/>
                <w:sz w:val="15"/>
              </w:rPr>
              <w:t>CDE Screening FAQs and July 24, 2026 update</w:t>
              <w:br/>
              <w:t>https://www.cde.ca.gov/ci/cl/screenerfaqs.asp</w:t>
            </w:r>
          </w:p>
        </w:tc>
        <w:tc>
          <w:tcPr>
            <w:tcW w:type="dxa" w:w="2700"/>
            <w:vAlign w:val="center"/>
            <w:tcMar>
              <w:top w:w="90" w:type="dxa"/>
              <w:start w:w="120" w:type="dxa"/>
              <w:bottom w:w="90" w:type="dxa"/>
              <w:end w:w="120" w:type="dxa"/>
            </w:tcMar>
          </w:tcPr>
          <w:p>
            <w:pPr>
              <w:spacing w:after="0" w:line="259" w:lineRule="auto"/>
            </w:pPr>
            <w:r/>
            <w:r>
              <w:rPr>
                <w:rFonts w:ascii="Aptos" w:hAnsi="Aptos"/>
                <w:b w:val="0"/>
                <w:i w:val="0"/>
                <w:color w:val="222222"/>
                <w:sz w:val="15"/>
              </w:rPr>
              <w:t>Statute, timing, opt-out, adopted instruments, results.</w:t>
            </w:r>
          </w:p>
        </w:tc>
      </w:tr>
      <w:tr>
        <w:tc>
          <w:tcPr>
            <w:tcW w:type="dxa" w:w="1900"/>
            <w:vAlign w:val="center"/>
            <w:tcMar>
              <w:top w:w="90" w:type="dxa"/>
              <w:start w:w="120" w:type="dxa"/>
              <w:bottom w:w="90" w:type="dxa"/>
              <w:end w:w="120" w:type="dxa"/>
            </w:tcMar>
          </w:tcPr>
          <w:p>
            <w:pPr>
              <w:spacing w:after="0" w:line="259" w:lineRule="auto"/>
            </w:pPr>
            <w:r/>
            <w:r>
              <w:rPr>
                <w:rFonts w:ascii="Aptos" w:hAnsi="Aptos"/>
                <w:b w:val="0"/>
                <w:i w:val="0"/>
                <w:color w:val="222222"/>
                <w:sz w:val="15"/>
              </w:rPr>
              <w:t>Accessibility</w:t>
            </w:r>
          </w:p>
        </w:tc>
        <w:tc>
          <w:tcPr>
            <w:tcW w:type="dxa" w:w="4760"/>
            <w:vAlign w:val="center"/>
            <w:tcMar>
              <w:top w:w="90" w:type="dxa"/>
              <w:start w:w="120" w:type="dxa"/>
              <w:bottom w:w="90" w:type="dxa"/>
              <w:end w:w="120" w:type="dxa"/>
            </w:tcMar>
          </w:tcPr>
          <w:p>
            <w:pPr>
              <w:spacing w:after="0" w:line="259" w:lineRule="auto"/>
            </w:pPr>
            <w:r/>
            <w:r>
              <w:rPr>
                <w:rFonts w:ascii="Aptos" w:hAnsi="Aptos"/>
                <w:b w:val="0"/>
                <w:i w:val="0"/>
                <w:color w:val="222222"/>
                <w:sz w:val="15"/>
              </w:rPr>
              <w:t>CDE Assessment Accessibility Resources Matrix</w:t>
              <w:br/>
              <w:t>https://www.cde.ca.gov/ta/tg/ca/accessibilityresources.asp</w:t>
            </w:r>
          </w:p>
        </w:tc>
        <w:tc>
          <w:tcPr>
            <w:tcW w:type="dxa" w:w="2700"/>
            <w:vAlign w:val="center"/>
            <w:tcMar>
              <w:top w:w="90" w:type="dxa"/>
              <w:start w:w="120" w:type="dxa"/>
              <w:bottom w:w="90" w:type="dxa"/>
              <w:end w:w="120" w:type="dxa"/>
            </w:tcMar>
          </w:tcPr>
          <w:p>
            <w:pPr>
              <w:spacing w:after="0" w:line="259" w:lineRule="auto"/>
            </w:pPr>
            <w:r/>
            <w:r>
              <w:rPr>
                <w:rFonts w:ascii="Aptos" w:hAnsi="Aptos"/>
                <w:b w:val="0"/>
                <w:i w:val="0"/>
                <w:color w:val="222222"/>
                <w:sz w:val="15"/>
              </w:rPr>
              <w:t>Current universal tools, supports, accommodations.</w:t>
            </w:r>
          </w:p>
        </w:tc>
      </w:tr>
    </w:tbl>
    <w:p>
      <w:r>
        <w:br w:type="page"/>
      </w:r>
    </w:p>
    <w:p>
      <w:pPr>
        <w:pStyle w:val="Heading1"/>
        <w:keepNext/>
      </w:pPr>
      <w:r>
        <w:rPr>
          <w:rFonts w:ascii="Aptos" w:hAnsi="Aptos"/>
          <w:b/>
          <w:i w:val="0"/>
          <w:color w:val="173A5E"/>
          <w:sz w:val="32"/>
        </w:rPr>
        <w:t>Local validation and release record</w:t>
      </w:r>
    </w:p>
    <w:p>
      <w:pPr>
        <w:keepNext w:val="0"/>
        <w:spacing w:before="0" w:after="240" w:line="269" w:lineRule="auto"/>
      </w:pPr>
      <w:r>
        <w:rPr>
          <w:rFonts w:ascii="Aptos" w:hAnsi="Aptos"/>
          <w:b w:val="0"/>
          <w:i w:val="0"/>
          <w:color w:val="5B6570"/>
          <w:sz w:val="20"/>
        </w:rPr>
        <w:t>Retain this completed page with the locally approved final version of Resource #1A.</w:t>
      </w:r>
    </w:p>
    <w:tbl>
      <w:tblPr>
        <w:tblW w:type="dxa" w:w="9360"/>
        <w:jc w:val="center"/>
        <w:tblLayout w:type="fixed"/>
        <w:tblLook w:firstColumn="1" w:firstRow="1" w:lastColumn="0" w:lastRow="0" w:noHBand="0" w:noVBand="1" w:val="04A0"/>
        <w:tblInd w:w="120" w:type="dxa"/>
      </w:tblPr>
      <w:tblGrid>
        <w:gridCol w:w="3100"/>
        <w:gridCol w:w="6260"/>
      </w:tblGrid>
      <w:tr>
        <w:tc>
          <w:tcPr>
            <w:tcW w:type="dxa" w:w="3100"/>
            <w:shd w:fill="EAF3F8"/>
            <w:vAlign w:val="center"/>
            <w:tcMar>
              <w:top w:w="90" w:type="dxa"/>
              <w:start w:w="120" w:type="dxa"/>
              <w:bottom w:w="90" w:type="dxa"/>
              <w:end w:w="120" w:type="dxa"/>
            </w:tcMar>
          </w:tcPr>
          <w:p>
            <w:pPr>
              <w:spacing w:after="0" w:line="259" w:lineRule="auto"/>
            </w:pPr>
            <w:r/>
            <w:r>
              <w:rPr>
                <w:rFonts w:ascii="Aptos" w:hAnsi="Aptos"/>
                <w:b/>
                <w:i w:val="0"/>
                <w:color w:val="173A5E"/>
                <w:sz w:val="19"/>
              </w:rPr>
              <w:t>District / LEA</w:t>
            </w:r>
          </w:p>
        </w:tc>
        <w:tc>
          <w:tcPr>
            <w:tcW w:type="dxa" w:w="6260"/>
            <w:shd w:fill="FFF2CC"/>
            <w:vAlign w:val="center"/>
            <w:tcMar>
              <w:top w:w="90" w:type="dxa"/>
              <w:start w:w="120" w:type="dxa"/>
              <w:bottom w:w="90" w:type="dxa"/>
              <w:end w:w="120" w:type="dxa"/>
            </w:tcMar>
          </w:tcPr>
          <w:p>
            <w:pPr>
              <w:spacing w:after="0" w:line="259" w:lineRule="auto"/>
            </w:pPr>
            <w:r/>
            <w:r>
              <w:rPr>
                <w:rFonts w:ascii="Aptos" w:hAnsi="Aptos"/>
                <w:b w:val="0"/>
                <w:i w:val="0"/>
                <w:color w:val="222222"/>
                <w:sz w:val="19"/>
              </w:rPr>
            </w:r>
            <w:r>
              <w:br/>
            </w:r>
          </w:p>
        </w:tc>
      </w:tr>
      <w:tr>
        <w:tc>
          <w:tcPr>
            <w:tcW w:type="dxa" w:w="3100"/>
            <w:shd w:fill="EAF3F8"/>
            <w:vAlign w:val="center"/>
            <w:tcMar>
              <w:top w:w="90" w:type="dxa"/>
              <w:start w:w="120" w:type="dxa"/>
              <w:bottom w:w="90" w:type="dxa"/>
              <w:end w:w="120" w:type="dxa"/>
            </w:tcMar>
          </w:tcPr>
          <w:p>
            <w:pPr>
              <w:spacing w:after="0" w:line="259" w:lineRule="auto"/>
            </w:pPr>
            <w:r/>
            <w:r>
              <w:rPr>
                <w:rFonts w:ascii="Aptos" w:hAnsi="Aptos"/>
                <w:b/>
                <w:i w:val="0"/>
                <w:color w:val="173A5E"/>
                <w:sz w:val="19"/>
              </w:rPr>
              <w:t>Final document owner</w:t>
            </w:r>
          </w:p>
        </w:tc>
        <w:tc>
          <w:tcPr>
            <w:tcW w:type="dxa" w:w="6260"/>
            <w:shd w:fill="FFF2CC"/>
            <w:vAlign w:val="center"/>
            <w:tcMar>
              <w:top w:w="90" w:type="dxa"/>
              <w:start w:w="120" w:type="dxa"/>
              <w:bottom w:w="90" w:type="dxa"/>
              <w:end w:w="120" w:type="dxa"/>
            </w:tcMar>
          </w:tcPr>
          <w:p>
            <w:pPr>
              <w:spacing w:after="0" w:line="259" w:lineRule="auto"/>
            </w:pPr>
            <w:r/>
            <w:r>
              <w:rPr>
                <w:rFonts w:ascii="Aptos" w:hAnsi="Aptos"/>
                <w:b w:val="0"/>
                <w:i w:val="0"/>
                <w:color w:val="222222"/>
                <w:sz w:val="19"/>
              </w:rPr>
            </w:r>
            <w:r>
              <w:br/>
            </w:r>
          </w:p>
        </w:tc>
      </w:tr>
      <w:tr>
        <w:tc>
          <w:tcPr>
            <w:tcW w:type="dxa" w:w="3100"/>
            <w:shd w:fill="EAF3F8"/>
            <w:vAlign w:val="center"/>
            <w:tcMar>
              <w:top w:w="90" w:type="dxa"/>
              <w:start w:w="120" w:type="dxa"/>
              <w:bottom w:w="90" w:type="dxa"/>
              <w:end w:w="120" w:type="dxa"/>
            </w:tcMar>
          </w:tcPr>
          <w:p>
            <w:pPr>
              <w:spacing w:after="0" w:line="259" w:lineRule="auto"/>
            </w:pPr>
            <w:r/>
            <w:r>
              <w:rPr>
                <w:rFonts w:ascii="Aptos" w:hAnsi="Aptos"/>
                <w:b/>
                <w:i w:val="0"/>
                <w:color w:val="173A5E"/>
                <w:sz w:val="19"/>
              </w:rPr>
              <w:t>Local version or file name</w:t>
            </w:r>
          </w:p>
        </w:tc>
        <w:tc>
          <w:tcPr>
            <w:tcW w:type="dxa" w:w="6260"/>
            <w:shd w:fill="FFF2CC"/>
            <w:vAlign w:val="center"/>
            <w:tcMar>
              <w:top w:w="90" w:type="dxa"/>
              <w:start w:w="120" w:type="dxa"/>
              <w:bottom w:w="90" w:type="dxa"/>
              <w:end w:w="120" w:type="dxa"/>
            </w:tcMar>
          </w:tcPr>
          <w:p>
            <w:pPr>
              <w:spacing w:after="0" w:line="259" w:lineRule="auto"/>
            </w:pPr>
            <w:r/>
            <w:r>
              <w:rPr>
                <w:rFonts w:ascii="Aptos" w:hAnsi="Aptos"/>
                <w:b w:val="0"/>
                <w:i w:val="0"/>
                <w:color w:val="222222"/>
                <w:sz w:val="19"/>
              </w:rPr>
            </w:r>
            <w:r>
              <w:br/>
            </w:r>
          </w:p>
        </w:tc>
      </w:tr>
      <w:tr>
        <w:tc>
          <w:tcPr>
            <w:tcW w:type="dxa" w:w="3100"/>
            <w:shd w:fill="EAF3F8"/>
            <w:vAlign w:val="center"/>
            <w:tcMar>
              <w:top w:w="90" w:type="dxa"/>
              <w:start w:w="120" w:type="dxa"/>
              <w:bottom w:w="90" w:type="dxa"/>
              <w:end w:w="120" w:type="dxa"/>
            </w:tcMar>
          </w:tcPr>
          <w:p>
            <w:pPr>
              <w:spacing w:after="0" w:line="259" w:lineRule="auto"/>
            </w:pPr>
            <w:r/>
            <w:r>
              <w:rPr>
                <w:rFonts w:ascii="Aptos" w:hAnsi="Aptos"/>
                <w:b/>
                <w:i w:val="0"/>
                <w:color w:val="173A5E"/>
                <w:sz w:val="19"/>
              </w:rPr>
              <w:t>Validated version date</w:t>
            </w:r>
          </w:p>
        </w:tc>
        <w:tc>
          <w:tcPr>
            <w:tcW w:type="dxa" w:w="6260"/>
            <w:shd w:fill="FFF2CC"/>
            <w:vAlign w:val="center"/>
            <w:tcMar>
              <w:top w:w="90" w:type="dxa"/>
              <w:start w:w="120" w:type="dxa"/>
              <w:bottom w:w="90" w:type="dxa"/>
              <w:end w:w="120" w:type="dxa"/>
            </w:tcMar>
          </w:tcPr>
          <w:p>
            <w:pPr>
              <w:spacing w:after="0" w:line="259" w:lineRule="auto"/>
            </w:pPr>
            <w:r/>
            <w:r>
              <w:rPr>
                <w:rFonts w:ascii="Aptos" w:hAnsi="Aptos"/>
                <w:b w:val="0"/>
                <w:i w:val="0"/>
                <w:color w:val="222222"/>
                <w:sz w:val="19"/>
              </w:rPr>
            </w:r>
            <w:r>
              <w:br/>
            </w:r>
          </w:p>
        </w:tc>
      </w:tr>
      <w:tr>
        <w:tc>
          <w:tcPr>
            <w:tcW w:type="dxa" w:w="3100"/>
            <w:shd w:fill="EAF3F8"/>
            <w:vAlign w:val="center"/>
            <w:tcMar>
              <w:top w:w="90" w:type="dxa"/>
              <w:start w:w="120" w:type="dxa"/>
              <w:bottom w:w="90" w:type="dxa"/>
              <w:end w:w="120" w:type="dxa"/>
            </w:tcMar>
          </w:tcPr>
          <w:p>
            <w:pPr>
              <w:spacing w:after="0" w:line="259" w:lineRule="auto"/>
            </w:pPr>
            <w:r/>
            <w:r>
              <w:rPr>
                <w:rFonts w:ascii="Aptos" w:hAnsi="Aptos"/>
                <w:b/>
                <w:i w:val="0"/>
                <w:color w:val="173A5E"/>
                <w:sz w:val="19"/>
              </w:rPr>
              <w:t>Approved by</w:t>
            </w:r>
          </w:p>
        </w:tc>
        <w:tc>
          <w:tcPr>
            <w:tcW w:type="dxa" w:w="6260"/>
            <w:shd w:fill="FFF2CC"/>
            <w:vAlign w:val="center"/>
            <w:tcMar>
              <w:top w:w="90" w:type="dxa"/>
              <w:start w:w="120" w:type="dxa"/>
              <w:bottom w:w="90" w:type="dxa"/>
              <w:end w:w="120" w:type="dxa"/>
            </w:tcMar>
          </w:tcPr>
          <w:p>
            <w:pPr>
              <w:spacing w:after="0" w:line="259" w:lineRule="auto"/>
            </w:pPr>
            <w:r/>
            <w:r>
              <w:rPr>
                <w:rFonts w:ascii="Aptos" w:hAnsi="Aptos"/>
                <w:b w:val="0"/>
                <w:i w:val="0"/>
                <w:color w:val="222222"/>
                <w:sz w:val="19"/>
              </w:rPr>
            </w:r>
            <w:r>
              <w:br/>
            </w:r>
          </w:p>
        </w:tc>
      </w:tr>
      <w:tr>
        <w:tc>
          <w:tcPr>
            <w:tcW w:type="dxa" w:w="3100"/>
            <w:shd w:fill="EAF3F8"/>
            <w:vAlign w:val="center"/>
            <w:tcMar>
              <w:top w:w="90" w:type="dxa"/>
              <w:start w:w="120" w:type="dxa"/>
              <w:bottom w:w="90" w:type="dxa"/>
              <w:end w:w="120" w:type="dxa"/>
            </w:tcMar>
          </w:tcPr>
          <w:p>
            <w:pPr>
              <w:spacing w:after="0" w:line="259" w:lineRule="auto"/>
            </w:pPr>
            <w:r/>
            <w:r>
              <w:rPr>
                <w:rFonts w:ascii="Aptos" w:hAnsi="Aptos"/>
                <w:b/>
                <w:i w:val="0"/>
                <w:color w:val="173A5E"/>
                <w:sz w:val="19"/>
              </w:rPr>
              <w:t>Planned dissemination date</w:t>
            </w:r>
          </w:p>
        </w:tc>
        <w:tc>
          <w:tcPr>
            <w:tcW w:type="dxa" w:w="6260"/>
            <w:shd w:fill="FFF2CC"/>
            <w:vAlign w:val="center"/>
            <w:tcMar>
              <w:top w:w="90" w:type="dxa"/>
              <w:start w:w="120" w:type="dxa"/>
              <w:bottom w:w="90" w:type="dxa"/>
              <w:end w:w="120" w:type="dxa"/>
            </w:tcMar>
          </w:tcPr>
          <w:p>
            <w:pPr>
              <w:spacing w:after="0" w:line="259" w:lineRule="auto"/>
            </w:pPr>
            <w:r/>
            <w:r>
              <w:rPr>
                <w:rFonts w:ascii="Aptos" w:hAnsi="Aptos"/>
                <w:b w:val="0"/>
                <w:i w:val="0"/>
                <w:color w:val="222222"/>
                <w:sz w:val="19"/>
              </w:rPr>
            </w:r>
            <w:r>
              <w:br/>
            </w:r>
          </w:p>
        </w:tc>
      </w:tr>
      <w:tr>
        <w:tc>
          <w:tcPr>
            <w:tcW w:type="dxa" w:w="3100"/>
            <w:shd w:fill="EAF3F8"/>
            <w:vAlign w:val="center"/>
            <w:tcMar>
              <w:top w:w="90" w:type="dxa"/>
              <w:start w:w="120" w:type="dxa"/>
              <w:bottom w:w="90" w:type="dxa"/>
              <w:end w:w="120" w:type="dxa"/>
            </w:tcMar>
          </w:tcPr>
          <w:p>
            <w:pPr>
              <w:spacing w:after="0" w:line="259" w:lineRule="auto"/>
            </w:pPr>
            <w:r/>
            <w:r>
              <w:rPr>
                <w:rFonts w:ascii="Aptos" w:hAnsi="Aptos"/>
                <w:b/>
                <w:i w:val="0"/>
                <w:color w:val="173A5E"/>
                <w:sz w:val="19"/>
              </w:rPr>
              <w:t>Primary distribution channels</w:t>
            </w:r>
          </w:p>
        </w:tc>
        <w:tc>
          <w:tcPr>
            <w:tcW w:type="dxa" w:w="6260"/>
            <w:shd w:fill="FFF2CC"/>
            <w:vAlign w:val="center"/>
            <w:tcMar>
              <w:top w:w="90" w:type="dxa"/>
              <w:start w:w="120" w:type="dxa"/>
              <w:bottom w:w="90" w:type="dxa"/>
              <w:end w:w="120" w:type="dxa"/>
            </w:tcMar>
          </w:tcPr>
          <w:p>
            <w:pPr>
              <w:spacing w:after="0" w:line="259" w:lineRule="auto"/>
            </w:pPr>
            <w:r/>
            <w:r>
              <w:rPr>
                <w:rFonts w:ascii="Aptos" w:hAnsi="Aptos"/>
                <w:b w:val="0"/>
                <w:i w:val="0"/>
                <w:color w:val="222222"/>
                <w:sz w:val="19"/>
              </w:rPr>
            </w:r>
            <w:r>
              <w:br/>
            </w:r>
          </w:p>
        </w:tc>
      </w:tr>
      <w:tr>
        <w:tc>
          <w:tcPr>
            <w:tcW w:type="dxa" w:w="3100"/>
            <w:shd w:fill="EAF3F8"/>
            <w:vAlign w:val="center"/>
            <w:tcMar>
              <w:top w:w="90" w:type="dxa"/>
              <w:start w:w="120" w:type="dxa"/>
              <w:bottom w:w="90" w:type="dxa"/>
              <w:end w:w="120" w:type="dxa"/>
            </w:tcMar>
          </w:tcPr>
          <w:p>
            <w:pPr>
              <w:spacing w:after="0" w:line="259" w:lineRule="auto"/>
            </w:pPr>
            <w:r/>
            <w:r>
              <w:rPr>
                <w:rFonts w:ascii="Aptos" w:hAnsi="Aptos"/>
                <w:b/>
                <w:i w:val="0"/>
                <w:color w:val="173A5E"/>
                <w:sz w:val="19"/>
              </w:rPr>
              <w:t>Languages / accessible formats released</w:t>
            </w:r>
          </w:p>
        </w:tc>
        <w:tc>
          <w:tcPr>
            <w:tcW w:type="dxa" w:w="6260"/>
            <w:shd w:fill="FFF2CC"/>
            <w:vAlign w:val="center"/>
            <w:tcMar>
              <w:top w:w="90" w:type="dxa"/>
              <w:start w:w="120" w:type="dxa"/>
              <w:bottom w:w="90" w:type="dxa"/>
              <w:end w:w="120" w:type="dxa"/>
            </w:tcMar>
          </w:tcPr>
          <w:p>
            <w:pPr>
              <w:spacing w:after="0" w:line="259" w:lineRule="auto"/>
            </w:pPr>
            <w:r/>
            <w:r>
              <w:rPr>
                <w:rFonts w:ascii="Aptos" w:hAnsi="Aptos"/>
                <w:b w:val="0"/>
                <w:i w:val="0"/>
                <w:color w:val="222222"/>
                <w:sz w:val="19"/>
              </w:rPr>
            </w:r>
            <w:r>
              <w:br/>
            </w:r>
          </w:p>
        </w:tc>
      </w:tr>
      <w:tr>
        <w:tc>
          <w:tcPr>
            <w:tcW w:type="dxa" w:w="3100"/>
            <w:shd w:fill="EAF3F8"/>
            <w:vAlign w:val="center"/>
            <w:tcMar>
              <w:top w:w="90" w:type="dxa"/>
              <w:start w:w="120" w:type="dxa"/>
              <w:bottom w:w="90" w:type="dxa"/>
              <w:end w:w="120" w:type="dxa"/>
            </w:tcMar>
          </w:tcPr>
          <w:p>
            <w:pPr>
              <w:spacing w:after="0" w:line="259" w:lineRule="auto"/>
            </w:pPr>
            <w:r/>
            <w:r>
              <w:rPr>
                <w:rFonts w:ascii="Aptos" w:hAnsi="Aptos"/>
                <w:b/>
                <w:i w:val="0"/>
                <w:color w:val="173A5E"/>
                <w:sz w:val="19"/>
              </w:rPr>
              <w:t>Records location</w:t>
            </w:r>
          </w:p>
        </w:tc>
        <w:tc>
          <w:tcPr>
            <w:tcW w:type="dxa" w:w="6260"/>
            <w:shd w:fill="FFF2CC"/>
            <w:vAlign w:val="center"/>
            <w:tcMar>
              <w:top w:w="90" w:type="dxa"/>
              <w:start w:w="120" w:type="dxa"/>
              <w:bottom w:w="90" w:type="dxa"/>
              <w:end w:w="120" w:type="dxa"/>
            </w:tcMar>
          </w:tcPr>
          <w:p>
            <w:pPr>
              <w:spacing w:after="0" w:line="259" w:lineRule="auto"/>
            </w:pPr>
            <w:r/>
            <w:r>
              <w:rPr>
                <w:rFonts w:ascii="Aptos" w:hAnsi="Aptos"/>
                <w:b w:val="0"/>
                <w:i w:val="0"/>
                <w:color w:val="222222"/>
                <w:sz w:val="19"/>
              </w:rPr>
            </w:r>
            <w:r>
              <w:br/>
            </w:r>
          </w:p>
        </w:tc>
      </w:tr>
    </w:tbl>
    <w:p>
      <w:pPr>
        <w:pStyle w:val="Heading1"/>
        <w:keepNext/>
      </w:pPr>
      <w:r>
        <w:rPr>
          <w:rFonts w:ascii="Aptos" w:hAnsi="Aptos"/>
          <w:b/>
          <w:i w:val="0"/>
          <w:color w:val="173A5E"/>
          <w:sz w:val="32"/>
        </w:rPr>
        <w:t>Final release certification</w:t>
      </w:r>
    </w:p>
    <w:tbl>
      <w:tblPr>
        <w:tblW w:type="dxa" w:w="9360"/>
        <w:jc w:val="center"/>
        <w:tblLayout w:type="fixed"/>
        <w:tblLook w:firstColumn="1" w:firstRow="1" w:lastColumn="0" w:lastRow="0" w:noHBand="0" w:noVBand="1" w:val="04A0"/>
        <w:tblInd w:w="120" w:type="dxa"/>
      </w:tblPr>
      <w:tblGrid>
        <w:gridCol w:w="9360"/>
      </w:tblGrid>
      <w:tr>
        <w:tc>
          <w:tcPr>
            <w:tcW w:type="dxa" w:w="9360"/>
            <w:vAlign w:val="center"/>
            <w:tcMar>
              <w:top w:w="90" w:type="dxa"/>
              <w:start w:w="120" w:type="dxa"/>
              <w:bottom w:w="90" w:type="dxa"/>
              <w:end w:w="120" w:type="dxa"/>
            </w:tcMar>
            <w:shd w:fill="FFF4DD"/>
          </w:tcPr>
          <w:p>
            <w:pPr>
              <w:spacing w:after="0" w:line="259" w:lineRule="auto"/>
            </w:pPr>
            <w:r>
              <w:rPr>
                <w:rFonts w:ascii="Aptos" w:hAnsi="Aptos"/>
                <w:b/>
                <w:i w:val="0"/>
                <w:color w:val="9A6700"/>
                <w:sz w:val="20"/>
              </w:rPr>
              <w:t xml:space="preserve">Annual maintenance requirement. </w:t>
            </w:r>
            <w:r>
              <w:rPr>
                <w:rFonts w:ascii="Aptos" w:hAnsi="Aptos"/>
                <w:b w:val="0"/>
                <w:i w:val="0"/>
                <w:color w:val="222222"/>
                <w:sz w:val="20"/>
              </w:rPr>
              <w:t>Revalidate the local Resource #1A each year and whenever state guidance, law, assessment programs, local policy, district contacts, or operational practice changes. Retain the approved local version and this release record according to the LEA’s records-management requirements.</w:t>
            </w:r>
          </w:p>
        </w:tc>
      </w:tr>
    </w:tbl>
    <w:p>
      <w:pPr>
        <w:spacing w:after="0"/>
      </w:pPr>
    </w:p>
    <w:p>
      <w:pPr>
        <w:spacing w:after="60" w:line="259" w:lineRule="auto"/>
        <w:ind w:left="72" w:hanging="29"/>
      </w:pPr>
      <w:r>
        <w:rPr>
          <w:rFonts w:ascii="Aptos" w:hAnsi="Aptos"/>
          <w:b w:val="0"/>
          <w:i w:val="0"/>
          <w:color w:val="173A5E"/>
          <w:sz w:val="21"/>
        </w:rPr>
        <w:t xml:space="preserve">☐  </w:t>
      </w:r>
      <w:r>
        <w:rPr>
          <w:rFonts w:ascii="Aptos" w:hAnsi="Aptos"/>
          <w:b w:val="0"/>
          <w:i w:val="0"/>
          <w:color w:val="222222"/>
          <w:sz w:val="19"/>
        </w:rPr>
        <w:t>I confirm that the local version contains no unresolved placeholders or drafting instructions.</w:t>
      </w:r>
    </w:p>
    <w:p>
      <w:pPr>
        <w:spacing w:after="60" w:line="259" w:lineRule="auto"/>
        <w:ind w:left="72" w:hanging="29"/>
      </w:pPr>
      <w:r>
        <w:rPr>
          <w:rFonts w:ascii="Aptos" w:hAnsi="Aptos"/>
          <w:b w:val="0"/>
          <w:i w:val="0"/>
          <w:color w:val="173A5E"/>
          <w:sz w:val="21"/>
        </w:rPr>
        <w:t xml:space="preserve">☐  </w:t>
      </w:r>
      <w:r>
        <w:rPr>
          <w:rFonts w:ascii="Aptos" w:hAnsi="Aptos"/>
          <w:b w:val="0"/>
          <w:i w:val="0"/>
          <w:color w:val="222222"/>
          <w:sz w:val="19"/>
        </w:rPr>
        <w:t>I confirm that the content completed the LEA’s required review and approval process.</w:t>
      </w:r>
    </w:p>
    <w:p>
      <w:pPr>
        <w:spacing w:after="60" w:line="259" w:lineRule="auto"/>
        <w:ind w:left="72" w:hanging="29"/>
      </w:pPr>
      <w:r>
        <w:rPr>
          <w:rFonts w:ascii="Aptos" w:hAnsi="Aptos"/>
          <w:b w:val="0"/>
          <w:i w:val="0"/>
          <w:color w:val="173A5E"/>
          <w:sz w:val="21"/>
        </w:rPr>
        <w:t xml:space="preserve">☐  </w:t>
      </w:r>
      <w:r>
        <w:rPr>
          <w:rFonts w:ascii="Aptos" w:hAnsi="Aptos"/>
          <w:b w:val="0"/>
          <w:i w:val="0"/>
          <w:color w:val="222222"/>
          <w:sz w:val="19"/>
        </w:rPr>
        <w:t>I authorize release through the distribution channels recorded above.</w:t>
      </w:r>
    </w:p>
    <w:p>
      <w:pPr>
        <w:keepNext w:val="0"/>
        <w:spacing w:before="200" w:after="80" w:line="269" w:lineRule="auto"/>
      </w:pPr>
      <w:r>
        <w:rPr>
          <w:rFonts w:ascii="Aptos" w:hAnsi="Aptos"/>
          <w:b/>
          <w:i w:val="0"/>
          <w:color w:val="222222"/>
          <w:sz w:val="20"/>
        </w:rPr>
        <w:t>Authorized signature: ____________________________________    Date: ____________________</w:t>
      </w:r>
    </w:p>
    <w:sectPr w:rsidR="00FC693F" w:rsidRPr="0006063C" w:rsidSect="00034616">
      <w:headerReference w:type="default" r:id="rId9"/>
      <w:footerReference w:type="default" r:id="rId10"/>
      <w:pgSz w:w="12240" w:h="15840"/>
      <w:pgMar w:top="1037" w:right="1224" w:bottom="1008" w:left="1224" w:header="461" w:footer="461"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
      <w:rPr>
        <w:rFonts w:ascii="Aptos" w:hAnsi="Aptos"/>
        <w:b w:val="0"/>
        <w:i w:val="0"/>
        <w:color w:val="5B6570"/>
        <w:sz w:val="16"/>
      </w:rPr>
      <w:t>School Data Leadership Association Resource #1B · Internal implementation guidance</w:t>
    </w:r>
    <w:r>
      <w:t xml:space="preserve">  |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pPr>
    <w:r/>
    <w:r>
      <w:rPr>
        <w:rFonts w:ascii="Aptos" w:hAnsi="Aptos"/>
        <w:b/>
        <w:i w:val="0"/>
        <w:color w:val="5B6570"/>
        <w:sz w:val="17"/>
      </w:rPr>
      <w:t>SDLA RESOURCE #1B</w:t>
    </w:r>
    <w:r>
      <w:rPr>
        <w:rFonts w:ascii="Aptos" w:hAnsi="Aptos"/>
        <w:b w:val="0"/>
        <w:i w:val="0"/>
        <w:color w:val="5B6570"/>
        <w:sz w:val="17"/>
      </w:rPr>
      <w:t xml:space="preserve">  |  IMPLEMENTATION NOTES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83" w:lineRule="auto"/>
    </w:pPr>
    <w:rPr>
      <w:rFonts w:ascii="Aptos" w:hAnsi="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20"/>
      <w:outlineLvl w:val="0"/>
    </w:pPr>
    <w:rPr>
      <w:rFonts w:asciiTheme="majorHAnsi" w:eastAsiaTheme="majorEastAsia" w:hAnsiTheme="majorHAnsi" w:cstheme="majorBidi" w:ascii="Aptos Display" w:hAnsi="Aptos Display"/>
      <w:b/>
      <w:bCs/>
      <w:color w:val="173A5E"/>
      <w:sz w:val="32"/>
      <w:szCs w:val="28"/>
    </w:rPr>
  </w:style>
  <w:style w:type="paragraph" w:styleId="Heading2">
    <w:name w:val="heading 2"/>
    <w:basedOn w:val="Normal"/>
    <w:next w:val="Normal"/>
    <w:link w:val="Heading2Char"/>
    <w:uiPriority w:val="9"/>
    <w:unhideWhenUsed/>
    <w:qFormat/>
    <w:rsid w:val="00FC693F"/>
    <w:pPr>
      <w:keepNext/>
      <w:keepLines/>
      <w:spacing w:before="200" w:after="80"/>
      <w:outlineLvl w:val="1"/>
    </w:pPr>
    <w:rPr>
      <w:rFonts w:asciiTheme="majorHAnsi" w:eastAsiaTheme="majorEastAsia" w:hAnsiTheme="majorHAnsi" w:cstheme="majorBidi" w:ascii="Aptos Display" w:hAnsi="Aptos Display"/>
      <w:b/>
      <w:bCs/>
      <w:color w:val="173A5E"/>
      <w:sz w:val="26"/>
      <w:szCs w:val="26"/>
    </w:rPr>
  </w:style>
  <w:style w:type="paragraph" w:styleId="Heading3">
    <w:name w:val="heading 3"/>
    <w:basedOn w:val="Normal"/>
    <w:next w:val="Normal"/>
    <w:link w:val="Heading3Char"/>
    <w:uiPriority w:val="9"/>
    <w:unhideWhenUsed/>
    <w:qFormat/>
    <w:rsid w:val="00FC693F"/>
    <w:pPr>
      <w:keepNext/>
      <w:keepLines/>
      <w:spacing w:before="160" w:after="60"/>
      <w:outlineLvl w:val="2"/>
    </w:pPr>
    <w:rPr>
      <w:rFonts w:asciiTheme="majorHAnsi" w:eastAsiaTheme="majorEastAsia" w:hAnsiTheme="majorHAnsi" w:cstheme="majorBidi" w:ascii="Aptos Display" w:hAnsi="Aptos Display"/>
      <w:b/>
      <w:bCs/>
      <w:color w:val="2E75B6"/>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