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100" w:line="269" w:lineRule="auto"/>
      </w:pPr>
      <w:r>
        <w:rPr>
          <w:rFonts w:ascii="Aptos" w:hAnsi="Aptos"/>
          <w:b/>
          <w:i w:val="0"/>
          <w:color w:val="2E75B6"/>
          <w:sz w:val="17"/>
        </w:rPr>
        <w:t>ANNUAL ASSESSMENT NOTICE</w:t>
      </w:r>
    </w:p>
    <w:p>
      <w:pPr>
        <w:keepNext/>
        <w:spacing w:before="0" w:after="80" w:line="269" w:lineRule="auto"/>
        <w:pBdr>
          <w:bottom w:val="single" w:sz="12" w:space="5" w:color="2E75B6"/>
        </w:pBdr>
      </w:pPr>
      <w:r>
        <w:rPr>
          <w:rFonts w:ascii="Aptos" w:hAnsi="Aptos"/>
          <w:b/>
          <w:i w:val="0"/>
          <w:color w:val="173A5E"/>
          <w:sz w:val="48"/>
        </w:rPr>
        <w:t>Annual Assessment Notice to Parents and Guardians</w:t>
      </w:r>
    </w:p>
    <w:p>
      <w:pPr>
        <w:keepNext w:val="0"/>
        <w:spacing w:before="0" w:after="240" w:line="269" w:lineRule="auto"/>
      </w:pPr>
      <w:r>
        <w:rPr>
          <w:rFonts w:ascii="Aptos" w:hAnsi="Aptos"/>
          <w:b w:val="0"/>
          <w:i w:val="0"/>
          <w:color w:val="5B6570"/>
          <w:sz w:val="22"/>
        </w:rPr>
        <w:t>A district-customizable family notice for California statewide assessments and screenings</w:t>
      </w:r>
    </w:p>
    <w:tbl>
      <w:tblPr>
        <w:tblW w:type="dxa" w:w="9360"/>
        <w:jc w:val="center"/>
        <w:tblLayout w:type="fixed"/>
        <w:tblLook w:firstColumn="1" w:firstRow="1" w:lastColumn="0" w:lastRow="0" w:noHBand="0" w:noVBand="1" w:val="04A0"/>
        <w:tblInd w:w="120" w:type="dxa"/>
      </w:tblPr>
      <w:tblGrid>
        <w:gridCol w:w="2350"/>
        <w:gridCol w:w="7010"/>
      </w:tblGrid>
      <w:tr>
        <w:tc>
          <w:tcPr>
            <w:tcW w:type="dxa" w:w="2350"/>
            <w:vAlign w:val="center"/>
            <w:tcMar>
              <w:top w:w="90" w:type="dxa"/>
              <w:start w:w="120" w:type="dxa"/>
              <w:bottom w:w="90" w:type="dxa"/>
              <w:end w:w="120" w:type="dxa"/>
            </w:tcMar>
            <w:shd w:fill="EAF3F8"/>
          </w:tcPr>
          <w:p>
            <w:pPr>
              <w:spacing w:after="0" w:line="259" w:lineRule="auto"/>
            </w:pPr>
            <w:r/>
            <w:r>
              <w:rPr>
                <w:rFonts w:ascii="Aptos" w:hAnsi="Aptos"/>
                <w:b/>
                <w:i w:val="0"/>
                <w:color w:val="173A5E"/>
                <w:sz w:val="18"/>
              </w:rPr>
              <w:t>Local educational agency</w:t>
            </w:r>
          </w:p>
        </w:tc>
        <w:tc>
          <w:tcPr>
            <w:tcW w:type="dxa" w:w="7010"/>
            <w:vAlign w:val="center"/>
            <w:tcMar>
              <w:top w:w="90" w:type="dxa"/>
              <w:start w:w="120" w:type="dxa"/>
              <w:bottom w:w="90" w:type="dxa"/>
              <w:end w:w="120" w:type="dxa"/>
            </w:tcMar>
            <w:shd w:fill="FFF2CC"/>
          </w:tcPr>
          <w:p>
            <w:pPr>
              <w:spacing w:after="0" w:line="259" w:lineRule="auto"/>
            </w:pPr>
            <w:r/>
            <w:r>
              <w:rPr>
                <w:rFonts w:ascii="Aptos" w:hAnsi="Aptos"/>
                <w:b/>
                <w:i w:val="0"/>
                <w:color w:val="9A6700"/>
                <w:sz w:val="18"/>
              </w:rPr>
              <w:t>[LEA NAME]</w:t>
            </w:r>
          </w:p>
        </w:tc>
      </w:tr>
      <w:tr>
        <w:tc>
          <w:tcPr>
            <w:tcW w:type="dxa" w:w="2350"/>
            <w:vAlign w:val="center"/>
            <w:tcMar>
              <w:top w:w="90" w:type="dxa"/>
              <w:start w:w="120" w:type="dxa"/>
              <w:bottom w:w="90" w:type="dxa"/>
              <w:end w:w="120" w:type="dxa"/>
            </w:tcMar>
            <w:shd w:fill="EAF3F8"/>
          </w:tcPr>
          <w:p>
            <w:pPr>
              <w:spacing w:after="0" w:line="259" w:lineRule="auto"/>
            </w:pPr>
            <w:r/>
            <w:r>
              <w:rPr>
                <w:rFonts w:ascii="Aptos" w:hAnsi="Aptos"/>
                <w:b/>
                <w:i w:val="0"/>
                <w:color w:val="173A5E"/>
                <w:sz w:val="18"/>
              </w:rPr>
              <w:t>School or program</w:t>
            </w:r>
          </w:p>
        </w:tc>
        <w:tc>
          <w:tcPr>
            <w:tcW w:type="dxa" w:w="7010"/>
            <w:vAlign w:val="center"/>
            <w:tcMar>
              <w:top w:w="90" w:type="dxa"/>
              <w:start w:w="120" w:type="dxa"/>
              <w:bottom w:w="90" w:type="dxa"/>
              <w:end w:w="120" w:type="dxa"/>
            </w:tcMar>
            <w:shd w:fill="FFF2CC"/>
          </w:tcPr>
          <w:p>
            <w:pPr>
              <w:spacing w:after="0" w:line="259" w:lineRule="auto"/>
            </w:pPr>
            <w:r/>
            <w:r>
              <w:rPr>
                <w:rFonts w:ascii="Aptos" w:hAnsi="Aptos"/>
                <w:b/>
                <w:i w:val="0"/>
                <w:color w:val="9A6700"/>
                <w:sz w:val="18"/>
              </w:rPr>
              <w:t>[SCHOOL OR PROGRAM, IF APPLICABLE]</w:t>
            </w:r>
          </w:p>
        </w:tc>
      </w:tr>
      <w:tr>
        <w:tc>
          <w:tcPr>
            <w:tcW w:type="dxa" w:w="2350"/>
            <w:vAlign w:val="center"/>
            <w:tcMar>
              <w:top w:w="90" w:type="dxa"/>
              <w:start w:w="120" w:type="dxa"/>
              <w:bottom w:w="90" w:type="dxa"/>
              <w:end w:w="120" w:type="dxa"/>
            </w:tcMar>
            <w:shd w:fill="EAF3F8"/>
          </w:tcPr>
          <w:p>
            <w:pPr>
              <w:spacing w:after="0" w:line="259" w:lineRule="auto"/>
            </w:pPr>
            <w:r/>
            <w:r>
              <w:rPr>
                <w:rFonts w:ascii="Aptos" w:hAnsi="Aptos"/>
                <w:b/>
                <w:i w:val="0"/>
                <w:color w:val="173A5E"/>
                <w:sz w:val="18"/>
              </w:rPr>
              <w:t>Local testing window(s)</w:t>
            </w:r>
          </w:p>
        </w:tc>
        <w:tc>
          <w:tcPr>
            <w:tcW w:type="dxa" w:w="7010"/>
            <w:vAlign w:val="center"/>
            <w:tcMar>
              <w:top w:w="90" w:type="dxa"/>
              <w:start w:w="120" w:type="dxa"/>
              <w:bottom w:w="90" w:type="dxa"/>
              <w:end w:w="120" w:type="dxa"/>
            </w:tcMar>
            <w:shd w:fill="FFF2CC"/>
          </w:tcPr>
          <w:p>
            <w:pPr>
              <w:spacing w:after="0" w:line="259" w:lineRule="auto"/>
            </w:pPr>
            <w:r/>
            <w:r>
              <w:rPr>
                <w:rFonts w:ascii="Aptos" w:hAnsi="Aptos"/>
                <w:b/>
                <w:i w:val="0"/>
                <w:color w:val="9A6700"/>
                <w:sz w:val="18"/>
              </w:rPr>
              <w:t>[DATES OR LINK TO CURRENT SCHEDULE]</w:t>
            </w:r>
          </w:p>
        </w:tc>
      </w:tr>
      <w:tr>
        <w:tc>
          <w:tcPr>
            <w:tcW w:type="dxa" w:w="2350"/>
            <w:vAlign w:val="center"/>
            <w:tcMar>
              <w:top w:w="90" w:type="dxa"/>
              <w:start w:w="120" w:type="dxa"/>
              <w:bottom w:w="90" w:type="dxa"/>
              <w:end w:w="120" w:type="dxa"/>
            </w:tcMar>
            <w:shd w:fill="EAF3F8"/>
          </w:tcPr>
          <w:p>
            <w:pPr>
              <w:spacing w:after="0" w:line="259" w:lineRule="auto"/>
            </w:pPr>
            <w:r/>
            <w:r>
              <w:rPr>
                <w:rFonts w:ascii="Aptos" w:hAnsi="Aptos"/>
                <w:b/>
                <w:i w:val="0"/>
                <w:color w:val="173A5E"/>
                <w:sz w:val="18"/>
              </w:rPr>
              <w:t>Questions and accessibility</w:t>
            </w:r>
          </w:p>
        </w:tc>
        <w:tc>
          <w:tcPr>
            <w:tcW w:type="dxa" w:w="7010"/>
            <w:vAlign w:val="center"/>
            <w:tcMar>
              <w:top w:w="90" w:type="dxa"/>
              <w:start w:w="120" w:type="dxa"/>
              <w:bottom w:w="90" w:type="dxa"/>
              <w:end w:w="120" w:type="dxa"/>
            </w:tcMar>
            <w:shd w:fill="FFF2CC"/>
          </w:tcPr>
          <w:p>
            <w:pPr>
              <w:spacing w:after="0" w:line="259" w:lineRule="auto"/>
            </w:pPr>
            <w:r/>
            <w:r>
              <w:rPr>
                <w:rFonts w:ascii="Aptos" w:hAnsi="Aptos"/>
                <w:b/>
                <w:i w:val="0"/>
                <w:color w:val="9A6700"/>
                <w:sz w:val="18"/>
              </w:rPr>
              <w:t>[LOCAL CONTACT, PHONE, EMAIL, AND ACCESSIBILITY CONTACT]</w:t>
            </w:r>
          </w:p>
        </w:tc>
      </w:tr>
    </w:tbl>
    <w:p>
      <w:pPr>
        <w:pStyle w:val="Heading1"/>
        <w:keepNext/>
      </w:pPr>
      <w:r>
        <w:rPr>
          <w:rFonts w:ascii="Aptos" w:hAnsi="Aptos"/>
          <w:b/>
          <w:i w:val="0"/>
          <w:color w:val="173A5E"/>
          <w:sz w:val="32"/>
        </w:rPr>
        <w:t>Dear Parents and Guardians,</w:t>
      </w:r>
    </w:p>
    <w:p>
      <w:pPr>
        <w:keepNext w:val="0"/>
        <w:spacing w:before="0" w:after="120" w:line="269" w:lineRule="auto"/>
      </w:pPr>
      <w:r>
        <w:rPr>
          <w:rFonts w:ascii="Aptos" w:hAnsi="Aptos"/>
          <w:b w:val="0"/>
          <w:i w:val="0"/>
          <w:color w:val="222222"/>
          <w:sz w:val="21"/>
        </w:rPr>
        <w:t>Each year, California students participate in statewide assessments and screenings. Used with classwork, grades, teacher observations, and other evidence, the results help families and educators understand student strengths and identify areas where additional support may be useful.</w:t>
      </w:r>
    </w:p>
    <w:p>
      <w:pPr>
        <w:keepNext w:val="0"/>
        <w:spacing w:before="0" w:after="160" w:line="269" w:lineRule="auto"/>
      </w:pPr>
      <w:r>
        <w:rPr>
          <w:rFonts w:ascii="Aptos" w:hAnsi="Aptos"/>
          <w:b w:val="0"/>
          <w:i w:val="0"/>
          <w:color w:val="222222"/>
          <w:sz w:val="21"/>
        </w:rPr>
        <w:t xml:space="preserve">Your child will take only the assessments that apply to their grade level, language-classification status, individualized education program, and other applicable program criteria. </w:t>
      </w:r>
      <w:r>
        <w:rPr>
          <w:rFonts w:ascii="Aptos" w:hAnsi="Aptos"/>
          <w:b/>
          <w:i w:val="0"/>
          <w:color w:val="9A6700"/>
          <w:sz w:val="21"/>
          <w:shd w:fill="FFF2CC"/>
        </w:rPr>
        <w:t>[LEA NAME]</w:t>
      </w:r>
      <w:r>
        <w:rPr>
          <w:rFonts w:ascii="Aptos" w:hAnsi="Aptos"/>
          <w:b w:val="0"/>
          <w:i w:val="0"/>
          <w:color w:val="222222"/>
          <w:sz w:val="21"/>
        </w:rPr>
        <w:t xml:space="preserve"> will provide the local schedule and any student-specific information about participation, accessibility resources, breaks, or accommodations.</w:t>
      </w:r>
    </w:p>
    <w:tbl>
      <w:tblPr>
        <w:tblW w:type="dxa" w:w="9360"/>
        <w:jc w:val="center"/>
        <w:tblLayout w:type="fixed"/>
        <w:tblLook w:firstColumn="1" w:firstRow="1" w:lastColumn="0" w:lastRow="0" w:noHBand="0" w:noVBand="1" w:val="04A0"/>
        <w:tblInd w:w="120" w:type="dxa"/>
      </w:tblPr>
      <w:tblGrid>
        <w:gridCol w:w="9360"/>
      </w:tblGrid>
      <w:tr>
        <w:tc>
          <w:tcPr>
            <w:tcW w:type="dxa" w:w="9360"/>
            <w:vAlign w:val="center"/>
            <w:tcMar>
              <w:top w:w="90" w:type="dxa"/>
              <w:start w:w="120" w:type="dxa"/>
              <w:bottom w:w="90" w:type="dxa"/>
              <w:end w:w="120" w:type="dxa"/>
            </w:tcMar>
            <w:shd w:fill="EAF3F8"/>
          </w:tcPr>
          <w:p>
            <w:pPr>
              <w:spacing w:after="0" w:line="259" w:lineRule="auto"/>
            </w:pPr>
            <w:r>
              <w:rPr>
                <w:rFonts w:ascii="Aptos" w:hAnsi="Aptos"/>
                <w:b/>
                <w:i w:val="0"/>
                <w:color w:val="173A5E"/>
                <w:sz w:val="20"/>
              </w:rPr>
              <w:t xml:space="preserve">CAASPP exemption right. </w:t>
            </w:r>
            <w:r>
              <w:rPr>
                <w:rFonts w:ascii="Aptos" w:hAnsi="Aptos"/>
                <w:b w:val="0"/>
                <w:i w:val="0"/>
                <w:color w:val="222222"/>
                <w:sz w:val="20"/>
              </w:rPr>
              <w:t>Under California Education Code section 60615, a parent or guardian may annually submit a written request to the school to excuse their child from any or all CAASPP assessments. This exemption does not apply automatically to ELPAC, the Physical Fitness Test, or other assessments and screenings described in this notice.</w:t>
            </w:r>
          </w:p>
        </w:tc>
      </w:tr>
    </w:tbl>
    <w:p>
      <w:pPr>
        <w:spacing w:after="0"/>
      </w:pPr>
    </w:p>
    <w:p>
      <w:pPr>
        <w:pStyle w:val="Heading1"/>
        <w:keepNext/>
      </w:pPr>
      <w:r>
        <w:rPr>
          <w:rFonts w:ascii="Aptos" w:hAnsi="Aptos"/>
          <w:b/>
          <w:i w:val="0"/>
          <w:color w:val="173A5E"/>
          <w:sz w:val="32"/>
        </w:rPr>
        <w:t>California Assessment of Student Performance and Progress (CAASPP)</w:t>
      </w:r>
    </w:p>
    <w:p>
      <w:pPr>
        <w:keepNext w:val="0"/>
        <w:spacing w:before="0" w:after="120" w:line="269" w:lineRule="auto"/>
      </w:pPr>
      <w:r>
        <w:rPr>
          <w:rFonts w:ascii="Aptos" w:hAnsi="Aptos"/>
          <w:b w:val="0"/>
          <w:i w:val="0"/>
          <w:color w:val="222222"/>
          <w:sz w:val="21"/>
        </w:rPr>
        <w:t>CAASPP includes the statewide academic assessments described below. Most are computer based and include approved accessibility resources. Alternate assessments are provided only when designated in an eligible student’s active individualized education program (IEP).</w:t>
      </w:r>
    </w:p>
    <w:p>
      <w:pPr>
        <w:pStyle w:val="Heading2"/>
        <w:keepNext/>
      </w:pPr>
      <w:r>
        <w:rPr>
          <w:rFonts w:ascii="Aptos" w:hAnsi="Aptos"/>
          <w:b/>
          <w:i w:val="0"/>
          <w:color w:val="173A5E"/>
          <w:sz w:val="26"/>
        </w:rPr>
        <w:t>Smarter Balanced Summative Assessments — English Language Arts/Literacy and Mathematics</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in grades 3–8 and grade 11, except students assigned the corresponding alternate assessments through an active IEP or otherwise excepted under current requirements.</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computer-adaptive questions and performance tasks using a secure testing system.</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Reading, writing, research, mathematical concepts, and problem solving aligned with California academic standards.</w:t>
      </w:r>
    </w:p>
    <w:p>
      <w:pPr>
        <w:pStyle w:val="Heading2"/>
        <w:keepNext/>
      </w:pPr>
      <w:r>
        <w:rPr>
          <w:rFonts w:ascii="Aptos" w:hAnsi="Aptos"/>
          <w:b/>
          <w:i w:val="0"/>
          <w:color w:val="173A5E"/>
          <w:sz w:val="26"/>
        </w:rPr>
        <w:t>California Alternate Assessments (CAAs) — English Language Arts/Literacy and Mathematics</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in grades 3–8 and grade 11 whose active IEP designates alternate assessment participation.</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an individually administered computer-based assessment with a trained test examiner familiar with the student.</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Essential academic knowledge and skills based on alternate achievement standards.</w:t>
      </w:r>
    </w:p>
    <w:p>
      <w:pPr>
        <w:pStyle w:val="Heading2"/>
        <w:keepNext/>
      </w:pPr>
      <w:r>
        <w:rPr>
          <w:rFonts w:ascii="Aptos" w:hAnsi="Aptos"/>
          <w:b/>
          <w:i w:val="0"/>
          <w:color w:val="173A5E"/>
          <w:sz w:val="26"/>
        </w:rPr>
        <w:t>California Science Test (CAST)</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in grades 5 and 8 and once in high school, in grade 10, 11, or 12.</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a computer-based assessment with interactive questions and a performance task.</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Science concepts and science and engineering practices aligned with the California Next Generation Science Standards.</w:t>
      </w:r>
    </w:p>
    <w:p>
      <w:pPr>
        <w:pStyle w:val="Heading2"/>
        <w:keepNext/>
      </w:pPr>
      <w:r>
        <w:rPr>
          <w:rFonts w:ascii="Aptos" w:hAnsi="Aptos"/>
          <w:b/>
          <w:i w:val="0"/>
          <w:color w:val="173A5E"/>
          <w:sz w:val="26"/>
        </w:rPr>
        <w:t>California Alternate Assessment (CAA) for Science</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in grades 5 and 8 and once in high school whose active IEP designates alternate assessment participation.</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embedded performance tasks administered individually by a trained examiner, generally after related instruction.</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Essential science knowledge and practices based on alternate achievement standards.</w:t>
      </w:r>
    </w:p>
    <w:p>
      <w:pPr>
        <w:pStyle w:val="Heading2"/>
        <w:keepNext/>
      </w:pPr>
      <w:r>
        <w:rPr>
          <w:rFonts w:ascii="Aptos" w:hAnsi="Aptos"/>
          <w:b/>
          <w:i w:val="0"/>
          <w:color w:val="173A5E"/>
          <w:sz w:val="26"/>
        </w:rPr>
        <w:t>California Spanish Assessment (CSA) — Optional</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in grades 3–8 and high school who seek a measure of Spanish reading and language arts skills. Participation is optional.</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a computer-based assessment in Spanish. The assessed domains vary by grade or grade span.</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Spanish reading and language arts knowledge and skills aligned with California standards.</w:t>
      </w:r>
    </w:p>
    <w:p>
      <w:pPr>
        <w:spacing w:after="160" w:line="259" w:lineRule="auto"/>
      </w:pPr>
      <w:r>
        <w:rPr>
          <w:rFonts w:ascii="Aptos" w:hAnsi="Aptos"/>
          <w:b/>
          <w:i w:val="0"/>
          <w:color w:val="173A5E"/>
          <w:sz w:val="20"/>
        </w:rPr>
        <w:t xml:space="preserve">Local information: </w:t>
      </w:r>
      <w:r>
        <w:rPr>
          <w:rFonts w:ascii="Aptos" w:hAnsi="Aptos"/>
          <w:b w:val="0"/>
          <w:i w:val="0"/>
          <w:color w:val="222222"/>
          <w:sz w:val="20"/>
        </w:rPr>
      </w:r>
      <w:r>
        <w:rPr>
          <w:rFonts w:ascii="Aptos" w:hAnsi="Aptos"/>
          <w:b/>
          <w:i w:val="0"/>
          <w:color w:val="9A6700"/>
          <w:sz w:val="21"/>
          <w:shd w:fill="FFF2CC"/>
        </w:rPr>
        <w:t>[STATE WHETHER THE LEA OFFERS THE CSA AND HOW FAMILIES MAY REQUEST INFORMATION.]</w:t>
      </w:r>
    </w:p>
    <w:p>
      <w:pPr>
        <w:pStyle w:val="Heading1"/>
        <w:keepNext/>
      </w:pPr>
      <w:r>
        <w:rPr>
          <w:rFonts w:ascii="Aptos" w:hAnsi="Aptos"/>
          <w:b/>
          <w:i w:val="0"/>
          <w:color w:val="173A5E"/>
          <w:sz w:val="32"/>
        </w:rPr>
        <w:t>English Language Proficiency Assessments for California (ELPAC)</w:t>
      </w:r>
    </w:p>
    <w:p>
      <w:pPr>
        <w:keepNext w:val="0"/>
        <w:spacing w:before="0" w:after="120" w:line="269" w:lineRule="auto"/>
      </w:pPr>
      <w:r>
        <w:rPr>
          <w:rFonts w:ascii="Aptos" w:hAnsi="Aptos"/>
          <w:b w:val="0"/>
          <w:i w:val="0"/>
          <w:color w:val="222222"/>
          <w:sz w:val="21"/>
        </w:rPr>
        <w:t>The ELPAC measures listening, speaking, reading, and writing in English. Eligibility and administration depend on the student’s enrollment history, Home Language Survey, current English learner status, and—when applicable—an active IEP designating an alternate assessment.</w:t>
      </w:r>
    </w:p>
    <w:p>
      <w:pPr>
        <w:pStyle w:val="Heading2"/>
        <w:keepNext/>
      </w:pPr>
      <w:r>
        <w:rPr>
          <w:rFonts w:ascii="Aptos" w:hAnsi="Aptos"/>
          <w:b/>
          <w:i w:val="0"/>
          <w:color w:val="173A5E"/>
          <w:sz w:val="26"/>
        </w:rPr>
        <w:t>Initial ELPAC</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Eligible students enrolling in a California public school for the first time whose Home Language Survey indicates a language other than English, unless a prior California English-language-acquisition status is available.</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grade-appropriate listening, speaking, reading, and writing tasks, primarily by computer with direct interaction for some domains and grade levels.</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Initial English-language proficiency to support identification and appropriate educational services.</w:t>
      </w:r>
    </w:p>
    <w:p>
      <w:pPr>
        <w:pStyle w:val="Heading2"/>
        <w:keepNext/>
      </w:pPr>
      <w:r>
        <w:rPr>
          <w:rFonts w:ascii="Aptos" w:hAnsi="Aptos"/>
          <w:b/>
          <w:i w:val="0"/>
          <w:color w:val="173A5E"/>
          <w:sz w:val="26"/>
        </w:rPr>
        <w:t>Summative ELPAC</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identified as English learners, annually, until they are reclassified as fluent English proficient.</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grade-appropriate listening, speaking, reading, and writing tasks, primarily by computer with direct interaction for some domains and grade levels.</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Annual progress toward English-language proficiency.</w:t>
      </w:r>
    </w:p>
    <w:p>
      <w:pPr>
        <w:pStyle w:val="Heading2"/>
        <w:keepNext/>
      </w:pPr>
      <w:r>
        <w:rPr>
          <w:rFonts w:ascii="Aptos" w:hAnsi="Aptos"/>
          <w:b/>
          <w:i w:val="0"/>
          <w:color w:val="173A5E"/>
          <w:sz w:val="26"/>
        </w:rPr>
        <w:t>Initial Alternate ELPAC</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Eligible newly enrolled students whose Home Language Survey indicates a language other than English and whose active IEP designates an alternate English-language-proficiency assessment.</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an individually administered computer-based assessment using the student’s preferred communication modes.</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Receptive and expressive English communication aligned with alternate English language development connectors.</w:t>
      </w:r>
    </w:p>
    <w:p>
      <w:pPr>
        <w:pStyle w:val="Heading2"/>
        <w:keepNext/>
      </w:pPr>
      <w:r>
        <w:rPr>
          <w:rFonts w:ascii="Aptos" w:hAnsi="Aptos"/>
          <w:b/>
          <w:i w:val="0"/>
          <w:color w:val="173A5E"/>
          <w:sz w:val="26"/>
        </w:rPr>
        <w:t>Summative Alternate ELPAC</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identified as English learners whose active IEP designates an alternate English-language-proficiency assessment, annually until reclassified.</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an individually administered computer-based assessment using the student’s preferred communication modes.</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Annual progress in receptive and expressive English communication.</w:t>
      </w:r>
    </w:p>
    <w:p>
      <w:pPr>
        <w:pStyle w:val="Heading1"/>
        <w:keepNext/>
      </w:pPr>
      <w:r>
        <w:rPr>
          <w:rFonts w:ascii="Aptos" w:hAnsi="Aptos"/>
          <w:b/>
          <w:i w:val="0"/>
          <w:color w:val="173A5E"/>
          <w:sz w:val="32"/>
        </w:rPr>
        <w:t>Other required statewide assessments and screenings</w:t>
      </w:r>
    </w:p>
    <w:p>
      <w:pPr>
        <w:pStyle w:val="Heading2"/>
        <w:keepNext/>
      </w:pPr>
      <w:r>
        <w:rPr>
          <w:rFonts w:ascii="Aptos" w:hAnsi="Aptos"/>
          <w:b/>
          <w:i w:val="0"/>
          <w:color w:val="173A5E"/>
          <w:sz w:val="26"/>
        </w:rPr>
        <w:t>California Physical Fitness Test (PFT)</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in grades 5, 7, and 9, including students who are not enrolled in a physical education class, subject to current requirements and applicable accommodations.</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Participate in the FITNESSGRAM® performance assessment across five areas of health-related fitness.</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Aerobic capacity, strength and endurance, and flexibility. The PFT is not an athletic tryout or a measure of a child’s worth.</w:t>
      </w:r>
    </w:p>
    <w:p>
      <w:pPr>
        <w:spacing w:after="160" w:line="259" w:lineRule="auto"/>
      </w:pPr>
      <w:r>
        <w:rPr>
          <w:rFonts w:ascii="Aptos" w:hAnsi="Aptos"/>
          <w:b/>
          <w:i w:val="0"/>
          <w:color w:val="173A5E"/>
          <w:sz w:val="20"/>
        </w:rPr>
        <w:t xml:space="preserve">Local information: </w:t>
      </w:r>
      <w:r>
        <w:rPr>
          <w:rFonts w:ascii="Aptos" w:hAnsi="Aptos"/>
          <w:b w:val="0"/>
          <w:i w:val="0"/>
          <w:color w:val="222222"/>
          <w:sz w:val="20"/>
        </w:rPr>
      </w:r>
      <w:r>
        <w:rPr>
          <w:rFonts w:ascii="Aptos" w:hAnsi="Aptos"/>
          <w:b/>
          <w:i w:val="0"/>
          <w:color w:val="9A6700"/>
          <w:sz w:val="21"/>
          <w:shd w:fill="FFF2CC"/>
        </w:rPr>
        <w:t>[INSERT THE LOCAL PFT WINDOW AND CONTACT.]</w:t>
      </w:r>
    </w:p>
    <w:p>
      <w:pPr>
        <w:pStyle w:val="Heading2"/>
        <w:keepNext/>
      </w:pPr>
      <w:r>
        <w:rPr>
          <w:rFonts w:ascii="Aptos" w:hAnsi="Aptos"/>
          <w:b/>
          <w:i w:val="0"/>
          <w:color w:val="173A5E"/>
          <w:sz w:val="26"/>
        </w:rPr>
        <w:t>Screening for Risk of Reading Difficulties</w:t>
      </w:r>
    </w:p>
    <w:p>
      <w:pPr>
        <w:spacing w:after="80" w:line="259" w:lineRule="auto"/>
      </w:pPr>
      <w:r>
        <w:rPr>
          <w:rFonts w:ascii="Aptos" w:hAnsi="Aptos"/>
          <w:b/>
          <w:i w:val="0"/>
          <w:color w:val="173A5E"/>
          <w:sz w:val="20"/>
        </w:rPr>
        <w:t xml:space="preserve">Who participates? </w:t>
      </w:r>
      <w:r>
        <w:rPr>
          <w:rFonts w:ascii="Aptos" w:hAnsi="Aptos"/>
          <w:b w:val="0"/>
          <w:i w:val="0"/>
          <w:color w:val="222222"/>
          <w:sz w:val="20"/>
        </w:rPr>
        <w:t>Students in kindergarten and grades 1 and 2, annually, unless a parent or guardian opts out in writing or another statutory exception applies. Transitional kindergarten is not included in this statewide requirement.</w:t>
      </w:r>
    </w:p>
    <w:p>
      <w:pPr>
        <w:spacing w:after="80" w:line="259" w:lineRule="auto"/>
      </w:pPr>
      <w:r>
        <w:rPr>
          <w:rFonts w:ascii="Aptos" w:hAnsi="Aptos"/>
          <w:b/>
          <w:i w:val="0"/>
          <w:color w:val="173A5E"/>
          <w:sz w:val="20"/>
        </w:rPr>
        <w:t xml:space="preserve">What students do: </w:t>
      </w:r>
      <w:r>
        <w:rPr>
          <w:rFonts w:ascii="Aptos" w:hAnsi="Aptos"/>
          <w:b w:val="0"/>
          <w:i w:val="0"/>
          <w:color w:val="222222"/>
          <w:sz w:val="20"/>
        </w:rPr>
        <w:t>Complete an LEA-adopted screening instrument from the state-approved list with appropriately trained personnel. For kindergarten, the required screening may not occur before the 91st school day; local timing must also consider whether students have received sufficient foundational-reading instruction to support a valid assessment.</w:t>
      </w:r>
    </w:p>
    <w:p>
      <w:pPr>
        <w:spacing w:after="80" w:line="259" w:lineRule="auto"/>
      </w:pPr>
      <w:r>
        <w:rPr>
          <w:rFonts w:ascii="Aptos" w:hAnsi="Aptos"/>
          <w:b/>
          <w:i w:val="0"/>
          <w:color w:val="173A5E"/>
          <w:sz w:val="20"/>
        </w:rPr>
        <w:t xml:space="preserve">What it measures: </w:t>
      </w:r>
      <w:r>
        <w:rPr>
          <w:rFonts w:ascii="Aptos" w:hAnsi="Aptos"/>
          <w:b w:val="0"/>
          <w:i w:val="0"/>
          <w:color w:val="222222"/>
          <w:sz w:val="20"/>
        </w:rPr>
        <w:t>Early indicators that a student may need additional foundational-reading support. Screening is not a diagnosis and may not be used for a high-stakes purpose.</w:t>
      </w:r>
    </w:p>
    <w:p>
      <w:pPr>
        <w:spacing w:after="160" w:line="259" w:lineRule="auto"/>
      </w:pPr>
      <w:r>
        <w:rPr>
          <w:rFonts w:ascii="Aptos" w:hAnsi="Aptos"/>
          <w:b/>
          <w:i w:val="0"/>
          <w:color w:val="173A5E"/>
          <w:sz w:val="20"/>
        </w:rPr>
        <w:t xml:space="preserve">Local information: </w:t>
      </w:r>
      <w:r>
        <w:rPr>
          <w:rFonts w:ascii="Aptos" w:hAnsi="Aptos"/>
          <w:b w:val="0"/>
          <w:i w:val="0"/>
          <w:color w:val="222222"/>
          <w:sz w:val="20"/>
        </w:rPr>
      </w:r>
      <w:r>
        <w:rPr>
          <w:rFonts w:ascii="Aptos" w:hAnsi="Aptos"/>
          <w:b/>
          <w:i w:val="0"/>
          <w:color w:val="9A6700"/>
          <w:sz w:val="21"/>
          <w:shd w:fill="FFF2CC"/>
        </w:rPr>
        <w:t>[INSERT THE ADOPTED SCREENER, LOCAL WINDOW, FAMILY NOTICE PROCESS, AND RESULTS CONTACT.]</w:t>
      </w:r>
    </w:p>
    <w:p>
      <w:pPr>
        <w:pStyle w:val="Heading1"/>
        <w:keepNext/>
      </w:pPr>
      <w:r>
        <w:rPr>
          <w:rFonts w:ascii="Aptos" w:hAnsi="Aptos"/>
          <w:b/>
          <w:i w:val="0"/>
          <w:color w:val="173A5E"/>
          <w:sz w:val="32"/>
        </w:rPr>
        <w:t>Assessments that may apply to selected students</w:t>
      </w:r>
    </w:p>
    <w:p>
      <w:pPr>
        <w:keepNext w:val="0"/>
        <w:spacing w:before="0" w:after="120" w:line="269" w:lineRule="auto"/>
      </w:pPr>
      <w:r>
        <w:rPr>
          <w:rFonts w:ascii="Aptos" w:hAnsi="Aptos"/>
          <w:b w:val="0"/>
          <w:i w:val="0"/>
          <w:color w:val="222222"/>
          <w:sz w:val="21"/>
        </w:rPr>
        <w:t>Some students or schools may be selected for other state or federal programs, such as the National Assessment of Educational Progress (NAEP). If applicable, the LEA will provide the required program-specific notice, participation information, timing, accessibility information, and local contact.</w:t>
      </w:r>
    </w:p>
    <w:p>
      <w:pPr>
        <w:pStyle w:val="Heading1"/>
        <w:keepNext/>
      </w:pPr>
      <w:r>
        <w:rPr>
          <w:rFonts w:ascii="Aptos" w:hAnsi="Aptos"/>
          <w:b/>
          <w:i w:val="0"/>
          <w:color w:val="173A5E"/>
          <w:sz w:val="32"/>
        </w:rPr>
        <w:t>Questions and preparation</w:t>
      </w:r>
    </w:p>
    <w:p>
      <w:pPr>
        <w:keepNext w:val="0"/>
        <w:spacing w:before="0" w:after="120" w:line="269" w:lineRule="auto"/>
      </w:pPr>
      <w:r>
        <w:rPr>
          <w:rFonts w:ascii="Aptos" w:hAnsi="Aptos"/>
          <w:b w:val="0"/>
          <w:i w:val="0"/>
          <w:color w:val="222222"/>
          <w:sz w:val="21"/>
        </w:rPr>
        <w:t>Families can help students by supporting normal routines, attendance, sleep, breakfast, and a calm reminder to use available tools and do their best. Questions about schedules, participation, accessibility, or accommodations should be directed to:</w:t>
      </w:r>
    </w:p>
    <w:p>
      <w:pPr>
        <w:keepNext w:val="0"/>
        <w:spacing w:before="0" w:after="240" w:line="269" w:lineRule="auto"/>
      </w:pPr>
      <w:r>
        <w:rPr>
          <w:rFonts w:ascii="Aptos" w:hAnsi="Aptos"/>
          <w:b w:val="0"/>
          <w:i w:val="0"/>
          <w:color w:val="222222"/>
          <w:sz w:val="21"/>
        </w:rPr>
      </w:r>
      <w:r>
        <w:rPr>
          <w:rFonts w:ascii="Aptos" w:hAnsi="Aptos"/>
          <w:b/>
          <w:i w:val="0"/>
          <w:color w:val="9A6700"/>
          <w:sz w:val="21"/>
          <w:shd w:fill="FFF2CC"/>
        </w:rPr>
        <w:t>[LOCAL CONTACT, PHONE, EMAIL, AND ACCESSIBILITY CONTACT]</w:t>
      </w:r>
    </w:p>
    <w:p>
      <w:pPr>
        <w:keepNext w:val="0"/>
        <w:spacing w:before="0" w:after="240" w:line="269" w:lineRule="auto"/>
      </w:pPr>
      <w:r>
        <w:rPr>
          <w:rFonts w:ascii="Aptos" w:hAnsi="Aptos"/>
          <w:b w:val="0"/>
          <w:i w:val="0"/>
          <w:color w:val="222222"/>
          <w:sz w:val="21"/>
        </w:rPr>
        <w:t>Sincerely,</w:t>
      </w:r>
    </w:p>
    <w:p>
      <w:pPr>
        <w:keepNext w:val="0"/>
        <w:spacing w:before="0" w:after="0" w:line="269" w:lineRule="auto"/>
      </w:pPr>
      <w:r>
        <w:rPr>
          <w:rFonts w:ascii="Aptos" w:hAnsi="Aptos"/>
          <w:b w:val="0"/>
          <w:i w:val="0"/>
          <w:color w:val="222222"/>
          <w:sz w:val="21"/>
        </w:rPr>
      </w:r>
      <w:r>
        <w:rPr>
          <w:rFonts w:ascii="Aptos" w:hAnsi="Aptos"/>
          <w:b/>
          <w:i w:val="0"/>
          <w:color w:val="9A6700"/>
          <w:sz w:val="21"/>
          <w:shd w:fill="FFF2CC"/>
        </w:rPr>
        <w:t>[DISTRICT OR SCHOOL ADMINISTRATOR]</w:t>
      </w:r>
    </w:p>
    <w:sectPr w:rsidR="00FC693F" w:rsidRPr="0006063C" w:rsidSect="00034616">
      <w:headerReference w:type="default" r:id="rId9"/>
      <w:footerReference w:type="default" r:id="rId10"/>
      <w:pgSz w:w="12240" w:h="15840"/>
      <w:pgMar w:top="1037" w:right="1224" w:bottom="1008" w:left="1224"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Aptos" w:hAnsi="Aptos"/>
        <w:b w:val="0"/>
        <w:i w:val="0"/>
        <w:color w:val="5B6570"/>
        <w:sz w:val="16"/>
      </w:rPr>
      <w:t>Adapted from School Data Leadership Association Resource #1A</w:t>
    </w:r>
    <w:r>
      <w:t xml:space="preserv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
      <w:rPr>
        <w:rFonts w:ascii="Aptos" w:hAnsi="Aptos"/>
        <w:b/>
        <w:i w:val="0"/>
        <w:color w:val="5B6570"/>
        <w:sz w:val="17"/>
      </w:rPr>
      <w:t>ANNUAL ASSESSMENT NOTICE</w:t>
    </w:r>
    <w:r>
      <w:rPr>
        <w:rFonts w:ascii="Aptos" w:hAnsi="Aptos"/>
        <w:b w:val="0"/>
        <w:i w:val="0"/>
        <w:color w:val="5B6570"/>
        <w:sz w:val="17"/>
      </w:rPr>
      <w:t xml:space="preserve">  |  2026–27 WORKING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73A5E"/>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73A5E"/>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2E75B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